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9"/>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6982"/>
      <w:bookmarkStart w:id="3" w:name="_Toc527391761"/>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16227"/>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教育技术学院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24432"/>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22710"/>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18318"/>
      <w:bookmarkStart w:id="14" w:name="_Toc527397089"/>
      <w:r>
        <w:rPr>
          <w:rFonts w:hint="eastAsia" w:ascii="华文中宋" w:hAnsi="华文中宋" w:eastAsia="华文中宋" w:cs="华文中宋"/>
          <w:b/>
          <w:bCs/>
          <w:color w:val="000000"/>
          <w:kern w:val="0"/>
          <w:sz w:val="36"/>
          <w:szCs w:val="36"/>
        </w:rPr>
        <w:t>目 录</w:t>
      </w:r>
      <w:bookmarkEnd w:id="11"/>
      <w:bookmarkEnd w:id="12"/>
      <w:bookmarkEnd w:id="13"/>
    </w:p>
    <w:p>
      <w:pPr>
        <w:pStyle w:val="5"/>
        <w:tabs>
          <w:tab w:val="right" w:leader="dot" w:pos="9014"/>
        </w:tabs>
        <w:rPr>
          <w:rFonts w:hint="eastAsia" w:ascii="仿宋" w:hAnsi="仿宋" w:eastAsia="仿宋" w:cs="仿宋"/>
          <w:sz w:val="30"/>
          <w:szCs w:val="30"/>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_Toc30267 </w:instrText>
      </w:r>
      <w:r>
        <w:rPr>
          <w:rFonts w:hint="eastAsia" w:ascii="仿宋" w:hAnsi="仿宋" w:eastAsia="仿宋" w:cs="仿宋"/>
          <w:sz w:val="30"/>
          <w:szCs w:val="30"/>
        </w:rPr>
        <w:fldChar w:fldCharType="separate"/>
      </w:r>
      <w:r>
        <w:rPr>
          <w:rFonts w:hint="eastAsia" w:ascii="仿宋" w:hAnsi="仿宋" w:eastAsia="仿宋" w:cs="仿宋"/>
          <w:sz w:val="30"/>
          <w:szCs w:val="30"/>
        </w:rPr>
        <w:t>教育技术学学术学位博士研究生培养方案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_Toc30267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_Toc5895 </w:instrText>
      </w:r>
      <w:r>
        <w:rPr>
          <w:rFonts w:hint="eastAsia" w:ascii="仿宋" w:hAnsi="仿宋" w:eastAsia="仿宋" w:cs="仿宋"/>
          <w:sz w:val="30"/>
          <w:szCs w:val="30"/>
        </w:rPr>
        <w:fldChar w:fldCharType="separate"/>
      </w:r>
      <w:r>
        <w:rPr>
          <w:rFonts w:hint="eastAsia" w:ascii="仿宋" w:hAnsi="仿宋" w:eastAsia="仿宋" w:cs="仿宋"/>
          <w:sz w:val="30"/>
          <w:szCs w:val="30"/>
        </w:rPr>
        <w:t>教育技术学学术学位硕士研究生培养方案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_Toc5895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_Toc4829 </w:instrText>
      </w:r>
      <w:r>
        <w:rPr>
          <w:rFonts w:hint="eastAsia" w:ascii="仿宋" w:hAnsi="仿宋" w:eastAsia="仿宋" w:cs="仿宋"/>
          <w:sz w:val="30"/>
          <w:szCs w:val="30"/>
        </w:rPr>
        <w:fldChar w:fldCharType="separate"/>
      </w:r>
      <w:r>
        <w:rPr>
          <w:rFonts w:hint="eastAsia" w:ascii="仿宋" w:hAnsi="仿宋" w:eastAsia="仿宋" w:cs="仿宋"/>
          <w:sz w:val="30"/>
          <w:szCs w:val="30"/>
        </w:rPr>
        <w:t>教</w:t>
      </w:r>
      <w:bookmarkStart w:id="43" w:name="_GoBack"/>
      <w:bookmarkEnd w:id="43"/>
      <w:r>
        <w:rPr>
          <w:rFonts w:hint="eastAsia" w:ascii="仿宋" w:hAnsi="仿宋" w:eastAsia="仿宋" w:cs="仿宋"/>
          <w:sz w:val="30"/>
          <w:szCs w:val="30"/>
        </w:rPr>
        <w:t>育硕士现代教育技术专业学位研究生培养方案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_Toc4829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_Toc5784 </w:instrText>
      </w:r>
      <w:r>
        <w:rPr>
          <w:rFonts w:hint="eastAsia" w:ascii="仿宋" w:hAnsi="仿宋" w:eastAsia="仿宋" w:cs="仿宋"/>
          <w:sz w:val="30"/>
          <w:szCs w:val="30"/>
        </w:rPr>
        <w:fldChar w:fldCharType="separate"/>
      </w:r>
      <w:r>
        <w:rPr>
          <w:rFonts w:hint="eastAsia" w:ascii="仿宋" w:hAnsi="仿宋" w:eastAsia="仿宋" w:cs="仿宋"/>
          <w:sz w:val="30"/>
          <w:szCs w:val="30"/>
        </w:rPr>
        <w:t>教育硕士职业技术教育专业学位研究生培养方案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_Toc5784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footerReference r:id="rId4" w:type="default"/>
          <w:pgSz w:w="11906" w:h="16838"/>
          <w:pgMar w:top="1701" w:right="1474" w:bottom="1418" w:left="1418" w:header="1191" w:footer="1021" w:gutter="0"/>
          <w:pgNumType w:fmt="decimal" w:start="1"/>
          <w:cols w:space="0" w:num="1"/>
          <w:docGrid w:linePitch="317"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5" w:name="_Toc30267"/>
      <w:r>
        <w:rPr>
          <w:rFonts w:hint="eastAsia"/>
          <w:color w:val="000000" w:themeColor="text1"/>
          <w14:textFill>
            <w14:solidFill>
              <w14:schemeClr w14:val="tx1"/>
            </w14:solidFill>
          </w14:textFill>
        </w:rPr>
        <w:t>教育技术学学术学位博士研究生培养方案</w:t>
      </w:r>
      <w:bookmarkEnd w:id="14"/>
      <w:bookmarkEnd w:id="15"/>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（学科或专业代码：040110）</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教育技术学是教育学一级学科下设的二级学科。该学科主要研究在教育中运用信息技术来促进学习、提高绩效的理论、规律和方法。它以学习理论、教学理论和传播理论为基础，运用技术来优化教育过程、开发教育资源，提高教育质量和效益。</w:t>
      </w:r>
    </w:p>
    <w:p>
      <w:pPr>
        <w:spacing w:line="480" w:lineRule="exact"/>
        <w:ind w:firstLine="480" w:firstLineChars="200"/>
        <w:rPr>
          <w:rFonts w:ascii="宋体" w:hAnsi="宋体" w:eastAsia="宋体" w:cs="宋体"/>
          <w:color w:val="000000" w:themeColor="text1"/>
          <w:spacing w:val="-1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教育技术学是一门新兴的应用型交叉学科，是现代信息技术与现代教育</w:t>
      </w:r>
      <w:r>
        <w:fldChar w:fldCharType="begin"/>
      </w:r>
      <w:r>
        <w:instrText xml:space="preserve"> HYPERLINK "http://job.studa.com/" </w:instrText>
      </w:r>
      <w:r>
        <w:fldChar w:fldCharType="separate"/>
      </w:r>
      <w:r>
        <w:rPr>
          <w:rFonts w:hint="eastAsia" w:ascii="宋体" w:hAnsi="宋体" w:eastAsia="宋体" w:cs="宋体"/>
          <w:color w:val="000000" w:themeColor="text1"/>
          <w:sz w:val="24"/>
          <w14:textFill>
            <w14:solidFill>
              <w14:schemeClr w14:val="tx1"/>
            </w14:solidFill>
          </w14:textFill>
        </w:rPr>
        <w:t>理论</w:t>
      </w:r>
      <w:r>
        <w:rPr>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相结合的产物，</w:t>
      </w:r>
      <w:r>
        <w:rPr>
          <w:rFonts w:hint="eastAsia" w:ascii="宋体" w:hAnsi="宋体" w:eastAsia="宋体" w:cs="宋体"/>
          <w:color w:val="000000" w:themeColor="text1"/>
          <w:spacing w:val="-6"/>
          <w:sz w:val="24"/>
          <w14:textFill>
            <w14:solidFill>
              <w14:schemeClr w14:val="tx1"/>
            </w14:solidFill>
          </w14:textFill>
        </w:rPr>
        <w:t>与其相近的一级学科主要有教育学、心理学和计算机科学与技术。很多相关学科</w:t>
      </w:r>
      <w:r>
        <w:rPr>
          <w:rFonts w:hint="eastAsia" w:ascii="宋体" w:hAnsi="宋体" w:eastAsia="宋体" w:cs="宋体"/>
          <w:color w:val="000000" w:themeColor="text1"/>
          <w:spacing w:val="-10"/>
          <w:sz w:val="24"/>
          <w14:textFill>
            <w14:solidFill>
              <w14:schemeClr w14:val="tx1"/>
            </w14:solidFill>
          </w14:textFill>
        </w:rPr>
        <w:t>新观念、新理论的相互影响和交叉渗透，形成了本学科的理论基础，推动着本学科的持续发展。</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经过近30年的发展，教育技术学已经形成了包括专科、本科、硕士、博士和博士后在内的完整的人才培养体系。</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是我国最早开办教育技术学专业的高等学校之一，1993年经国务院学位委员会批准设立教育技术学硕士点，2003年经国务院学位委员会批准设立教育技术学博士点，是西部地区设立的第一个教育技术学博士点。2006年教育技术学科被评为省级重点学科。该学科现已形成教育技术基本理论、现代远程教育、教育信息化理论与实践、信息技术与教育四个稳定的研究方向。</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本专业培养具有良好的思想政治素质和学术道德，具有较高的信息素养和创新精神，熟练掌握现代教育理论和现代信息技术，</w:t>
      </w:r>
      <w:r>
        <w:rPr>
          <w:rFonts w:ascii="宋体" w:hAnsi="宋体"/>
          <w:color w:val="000000" w:themeColor="text1"/>
          <w:sz w:val="24"/>
          <w14:textFill>
            <w14:solidFill>
              <w14:schemeClr w14:val="tx1"/>
            </w14:solidFill>
          </w14:textFill>
        </w:rPr>
        <w:t>掌握教学设计、教学资源开发的理论与技术</w:t>
      </w:r>
      <w:r>
        <w:rPr>
          <w:rFonts w:hint="eastAsia" w:ascii="宋体" w:hAnsi="宋体"/>
          <w:color w:val="000000" w:themeColor="text1"/>
          <w:sz w:val="24"/>
          <w14:textFill>
            <w14:solidFill>
              <w14:schemeClr w14:val="tx1"/>
            </w14:solidFill>
          </w14:textFill>
        </w:rPr>
        <w:t>，理论功底扎实、学术</w:t>
      </w:r>
      <w:r>
        <w:rPr>
          <w:rFonts w:ascii="宋体" w:hAnsi="宋体"/>
          <w:color w:val="000000" w:themeColor="text1"/>
          <w:sz w:val="24"/>
          <w14:textFill>
            <w14:solidFill>
              <w14:schemeClr w14:val="tx1"/>
            </w14:solidFill>
          </w14:textFill>
        </w:rPr>
        <w:t>视野</w:t>
      </w:r>
      <w:r>
        <w:rPr>
          <w:rFonts w:hint="eastAsia" w:ascii="宋体" w:hAnsi="宋体"/>
          <w:color w:val="000000" w:themeColor="text1"/>
          <w:sz w:val="24"/>
          <w14:textFill>
            <w14:solidFill>
              <w14:schemeClr w14:val="tx1"/>
            </w14:solidFill>
          </w14:textFill>
        </w:rPr>
        <w:t>宽广、实践能力强，德、智、体、美和谐发展，适应我国现代化建设和社会发展需要的创新型高级专门人才。本专业毕业博士生要熟练掌握一门外国语，</w:t>
      </w:r>
      <w:r>
        <w:rPr>
          <w:rFonts w:ascii="宋体" w:hAnsi="宋体"/>
          <w:color w:val="000000" w:themeColor="text1"/>
          <w:sz w:val="24"/>
          <w14:textFill>
            <w14:solidFill>
              <w14:schemeClr w14:val="tx1"/>
            </w14:solidFill>
          </w14:textFill>
        </w:rPr>
        <w:t>能在</w:t>
      </w:r>
      <w:r>
        <w:rPr>
          <w:rFonts w:hint="eastAsia" w:ascii="宋体" w:hAnsi="宋体"/>
          <w:color w:val="000000" w:themeColor="text1"/>
          <w:sz w:val="24"/>
          <w14:textFill>
            <w14:solidFill>
              <w14:schemeClr w14:val="tx1"/>
            </w14:solidFill>
          </w14:textFill>
        </w:rPr>
        <w:t>本学科前沿领域</w:t>
      </w:r>
      <w:r>
        <w:rPr>
          <w:rFonts w:ascii="宋体" w:hAnsi="宋体"/>
          <w:color w:val="000000" w:themeColor="text1"/>
          <w:sz w:val="24"/>
          <w14:textFill>
            <w14:solidFill>
              <w14:schemeClr w14:val="tx1"/>
            </w14:solidFill>
          </w14:textFill>
        </w:rPr>
        <w:t>创造性</w:t>
      </w:r>
      <w:r>
        <w:rPr>
          <w:rFonts w:hint="eastAsia" w:ascii="宋体" w:hAnsi="宋体"/>
          <w:color w:val="000000" w:themeColor="text1"/>
          <w:sz w:val="24"/>
          <w14:textFill>
            <w14:solidFill>
              <w14:schemeClr w14:val="tx1"/>
            </w14:solidFill>
          </w14:textFill>
        </w:rPr>
        <w:t>地开展</w:t>
      </w:r>
      <w:r>
        <w:rPr>
          <w:rFonts w:ascii="宋体" w:hAnsi="宋体"/>
          <w:color w:val="000000" w:themeColor="text1"/>
          <w:sz w:val="24"/>
          <w14:textFill>
            <w14:solidFill>
              <w14:schemeClr w14:val="tx1"/>
            </w14:solidFill>
          </w14:textFill>
        </w:rPr>
        <w:t>研究工作</w:t>
      </w:r>
      <w:r>
        <w:rPr>
          <w:rFonts w:hint="eastAsia" w:ascii="宋体" w:hAnsi="宋体"/>
          <w:color w:val="000000" w:themeColor="text1"/>
          <w:sz w:val="24"/>
          <w14:textFill>
            <w14:solidFill>
              <w14:schemeClr w14:val="tx1"/>
            </w14:solidFill>
          </w14:textFill>
        </w:rPr>
        <w:t>，能独立承担信息化教育领域重大理论和实践研究课题，胜任高校和科研机构的重大科研与教学工作任务。</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采取导师负责与导师组集体培养相结合的培养方式。成立本专业博士生指导小组，成员为本专业的博士生导师。导师是博士生培养的第一责任人，在博士生培养中起主导作用；博士生指导小组配合导师全程参与博士生的指导工作，充分发挥集体培养优势，为博士生营造良好的学术环境，使博士生在博采众长中实现创新能力的提高。</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.与国内同行合作或共同培养。有计划地聘请国内外著名学者授课，或派出博士生到其他著名高校修读部分课程，与国内著名高校联合培养博士研究生。</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.鼓励博士生积极参加导师的科研项目，参与国内外重大理论与实践课题研究，以科研项目为载体，培养博士生的科研能力。</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kern w:val="0"/>
          <w:sz w:val="24"/>
          <w14:textFill>
            <w14:solidFill>
              <w14:schemeClr w14:val="tx1"/>
            </w14:solidFill>
          </w14:textFill>
        </w:rPr>
        <w:t>.鼓励博士生积极参加校内外有关学术活动，加强学术交流与协作，提高博士生的社会交往和社会服务能力。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.充分利用信息技术环境，开展专题讨论和研讨式教学，开展研究性自主学习与协作学习，培养博士生的创新能力和创新意识。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需要计算机、心理学等相关学科知识。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w:t>
      </w:r>
      <w:r>
        <w:rPr>
          <w:rFonts w:hint="eastAsia" w:ascii="宋体" w:hAnsi="宋体" w:cs="宋体"/>
          <w:color w:val="000000" w:themeColor="text1"/>
          <w:kern w:val="0"/>
          <w:sz w:val="24"/>
          <w14:textFill>
            <w14:solidFill>
              <w14:schemeClr w14:val="tx1"/>
            </w14:solidFill>
          </w14:textFill>
        </w:rPr>
        <w:t>博士研究生(含硕博连读博士阶段)基本学制3年，最长学习年限6年。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1.信息化教育</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2.教育信息化理论与实践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3.数字化学习</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adjustRightInd w:val="0"/>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至少须修满22学分，其中公共必修课5学分，其他培养环节2学分。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七、课程设置与教学方式</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八、学位论文要求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1.学位论文工作是</w:t>
      </w:r>
      <w:r>
        <w:rPr>
          <w:rFonts w:hint="eastAsia" w:ascii="宋体" w:hAnsi="宋体" w:eastAsia="宋体" w:cs="宋体"/>
          <w:color w:val="000000" w:themeColor="text1"/>
          <w:kern w:val="0"/>
          <w:sz w:val="24"/>
          <w14:textFill>
            <w14:solidFill>
              <w14:schemeClr w14:val="tx1"/>
            </w14:solidFill>
          </w14:textFill>
        </w:rPr>
        <w:t>博士生</w:t>
      </w:r>
      <w:r>
        <w:rPr>
          <w:rFonts w:hint="eastAsia" w:ascii="宋体" w:hAnsi="宋体" w:eastAsia="宋体" w:cs="宋体"/>
          <w:color w:val="000000" w:themeColor="text1"/>
          <w:sz w:val="24"/>
          <w14:textFill>
            <w14:solidFill>
              <w14:schemeClr w14:val="tx1"/>
            </w14:solidFill>
          </w14:textFill>
        </w:rPr>
        <w:t>培养的重要组成部分，是对</w:t>
      </w:r>
      <w:r>
        <w:rPr>
          <w:rFonts w:hint="eastAsia" w:ascii="宋体" w:hAnsi="宋体" w:eastAsia="宋体" w:cs="宋体"/>
          <w:color w:val="000000" w:themeColor="text1"/>
          <w:kern w:val="0"/>
          <w:sz w:val="24"/>
          <w14:textFill>
            <w14:solidFill>
              <w14:schemeClr w14:val="tx1"/>
            </w14:solidFill>
          </w14:textFill>
        </w:rPr>
        <w:t>博士生</w:t>
      </w:r>
      <w:r>
        <w:rPr>
          <w:rFonts w:hint="eastAsia" w:ascii="宋体" w:hAnsi="宋体" w:eastAsia="宋体" w:cs="宋体"/>
          <w:color w:val="000000" w:themeColor="text1"/>
          <w:sz w:val="24"/>
          <w14:textFill>
            <w14:solidFill>
              <w14:schemeClr w14:val="tx1"/>
            </w14:solidFill>
          </w14:textFill>
        </w:rPr>
        <w:t>进行科学研究或承担专门技术工作的全面训练，是培养</w:t>
      </w:r>
      <w:r>
        <w:rPr>
          <w:rFonts w:hint="eastAsia" w:ascii="宋体" w:hAnsi="宋体" w:eastAsia="宋体" w:cs="宋体"/>
          <w:color w:val="000000" w:themeColor="text1"/>
          <w:kern w:val="0"/>
          <w:sz w:val="24"/>
          <w14:textFill>
            <w14:solidFill>
              <w14:schemeClr w14:val="tx1"/>
            </w14:solidFill>
          </w14:textFill>
        </w:rPr>
        <w:t>博士生</w:t>
      </w:r>
      <w:r>
        <w:rPr>
          <w:rFonts w:hint="eastAsia" w:ascii="宋体" w:hAnsi="宋体" w:eastAsia="宋体" w:cs="宋体"/>
          <w:color w:val="000000" w:themeColor="text1"/>
          <w:sz w:val="24"/>
          <w14:textFill>
            <w14:solidFill>
              <w14:schemeClr w14:val="tx1"/>
            </w14:solidFill>
          </w14:textFill>
        </w:rPr>
        <w:t>创新能力及综合运用所学知识发现问题、分析问题、解决问题能力的主要环节。在修满规定学分，达到学校有关规定要求后，方可进入学位论文工作阶段。博士生的学位论文应在导师的指导下，由博士生独立完成，时间不少于两年。</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博士生入学后在导师的指导下确定研究方向和培养计划，通过查阅文献、收集资料和调查研究等工作，把握本研究领域国内外现状和发展动态，在此基础上确定论文选题，并在第三学期完成论文的开题工作。论文选题必须具备科学性、学术性、创新性和可行性。开题报告的内容包括：课题的研究意义、国内外现状分析；课题研究目标、研究内容、拟解决的关键问题；拟采取的研究方法、技术路线及其可行性研究；课题的创新性；计划进度、预期进展和预期成果；与本课题有关的工作积累、已有的研究工作成绩及主要参考文献等。博士学位论文开题报告经本学科专家论证获得通过后方可进行课题研究。</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学位论文应在导师或指导小组的指导下由博士生独立完成。论文写作及打印格式等按照《西北师范大学博士/硕士学位论文打印要求》等有关规定执行，论文应体现本学科研究方向上的前沿性、独创性和系统性。论文一般不少于15万字。</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论文撰写完成后，由学校学位评定委员会办公室和学院聘请四至五名本领域的专家进行“双盲”评审，至少两名是省外专家，论文评审通过后方可进行答辩。论文评审及答辩的具体要求按照《西北师范大学研究生学位论文工作暂行规定》、《西北师范大学硕士、博士学位授予实施细则》等有关规定执行。</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附件：教育技术学学术学位博士研究生课程设置与教学计划表</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ind w:left="-99" w:leftChars="-47" w:firstLine="17" w:firstLineChars="7"/>
        <w:rPr>
          <w:rFonts w:ascii="楷体_GB2312" w:eastAsia="楷体_GB2312"/>
          <w:b/>
          <w:bCs/>
          <w:color w:val="000000" w:themeColor="text1"/>
          <w:sz w:val="24"/>
          <w14:textFill>
            <w14:solidFill>
              <w14:schemeClr w14:val="tx1"/>
            </w14:solidFill>
          </w14:textFill>
        </w:rPr>
      </w:pPr>
      <w:r>
        <w:rPr>
          <w:rFonts w:hint="eastAsia" w:ascii="楷体_GB2312" w:eastAsia="楷体_GB2312"/>
          <w:b/>
          <w:bCs/>
          <w:color w:val="000000" w:themeColor="text1"/>
          <w:sz w:val="24"/>
          <w14:textFill>
            <w14:solidFill>
              <w14:schemeClr w14:val="tx1"/>
            </w14:solidFill>
          </w14:textFill>
        </w:rPr>
        <w:br w:type="page"/>
      </w: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b/>
          <w:bCs/>
          <w:color w:val="000000" w:themeColor="text1"/>
          <w:sz w:val="32"/>
          <w:szCs w:val="32"/>
          <w14:textFill>
            <w14:solidFill>
              <w14:schemeClr w14:val="tx1"/>
            </w14:solidFill>
          </w14:textFill>
        </w:rPr>
      </w:pPr>
      <w:r>
        <w:rPr>
          <w:rFonts w:hint="eastAsia" w:ascii="黑体" w:eastAsia="黑体"/>
          <w:b/>
          <w:bCs/>
          <w:color w:val="000000" w:themeColor="text1"/>
          <w:sz w:val="32"/>
          <w:szCs w:val="32"/>
          <w14:textFill>
            <w14:solidFill>
              <w14:schemeClr w14:val="tx1"/>
            </w14:solidFill>
          </w14:textFill>
        </w:rPr>
        <w:t>教育技术学学术学位博士研究生课程设置与教学计划表</w:t>
      </w:r>
    </w:p>
    <w:tbl>
      <w:tblPr>
        <w:tblStyle w:val="7"/>
        <w:tblW w:w="9693" w:type="dxa"/>
        <w:jc w:val="center"/>
        <w:tblInd w:w="-13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00"/>
        <w:gridCol w:w="390"/>
        <w:gridCol w:w="604"/>
        <w:gridCol w:w="938"/>
        <w:gridCol w:w="2625"/>
        <w:gridCol w:w="624"/>
        <w:gridCol w:w="610"/>
        <w:gridCol w:w="611"/>
        <w:gridCol w:w="543"/>
        <w:gridCol w:w="1425"/>
        <w:gridCol w:w="72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1594"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类型</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2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开课学期</w:t>
            </w:r>
          </w:p>
        </w:tc>
        <w:tc>
          <w:tcPr>
            <w:tcW w:w="6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restart"/>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94"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D0051001</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中国马克思主义与当代</w:t>
            </w:r>
          </w:p>
        </w:tc>
        <w:tc>
          <w:tcPr>
            <w:tcW w:w="62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D0051002</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马克思恩格斯列宁经典著作选读</w:t>
            </w:r>
          </w:p>
        </w:tc>
        <w:tc>
          <w:tcPr>
            <w:tcW w:w="62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D0101222</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2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6"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DO213175</w:t>
            </w:r>
          </w:p>
        </w:tc>
        <w:tc>
          <w:tcPr>
            <w:tcW w:w="262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赵纳新</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DO213173</w:t>
            </w:r>
          </w:p>
        </w:tc>
        <w:tc>
          <w:tcPr>
            <w:tcW w:w="262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信息化教育原理</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  炯</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DO213172</w:t>
            </w:r>
          </w:p>
        </w:tc>
        <w:tc>
          <w:tcPr>
            <w:tcW w:w="26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信息技术与教育</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restart"/>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专业必修课</w:t>
            </w: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信息化教育</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DO213171</w:t>
            </w:r>
          </w:p>
        </w:tc>
        <w:tc>
          <w:tcPr>
            <w:tcW w:w="26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现代学习理论与教学理论</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蔡旻君</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DO213176</w:t>
            </w:r>
          </w:p>
        </w:tc>
        <w:tc>
          <w:tcPr>
            <w:tcW w:w="262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信息科学与传播原理</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8"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教育信息化理论与实践</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DO213174</w:t>
            </w:r>
          </w:p>
        </w:tc>
        <w:tc>
          <w:tcPr>
            <w:tcW w:w="26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教育信息化理论与实践</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杨晓宏</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DO213177</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现代远程教育专题</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俞树煜</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数字化学习</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DO213171</w:t>
            </w:r>
          </w:p>
        </w:tc>
        <w:tc>
          <w:tcPr>
            <w:tcW w:w="26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现代学习理论与教学理论</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蔡旻君</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9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DO213174</w:t>
            </w:r>
          </w:p>
        </w:tc>
        <w:tc>
          <w:tcPr>
            <w:tcW w:w="26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教育信息化理论与实践</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杨晓宏</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atLeast"/>
          <w:jc w:val="center"/>
        </w:trPr>
        <w:tc>
          <w:tcPr>
            <w:tcW w:w="600" w:type="dxa"/>
            <w:vMerge w:val="restart"/>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DO214171</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教学设计专题</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张筱兰</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DO214172</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虚拟现实技术与数字教育资源开发</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张学军</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DO214173</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网络教育应用</w:t>
            </w:r>
          </w:p>
        </w:tc>
        <w:tc>
          <w:tcPr>
            <w:tcW w:w="624"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0"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25"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李建珍</w:t>
            </w:r>
          </w:p>
        </w:tc>
        <w:tc>
          <w:tcPr>
            <w:tcW w:w="723"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53" w:hRule="exact"/>
          <w:jc w:val="center"/>
        </w:trPr>
        <w:tc>
          <w:tcPr>
            <w:tcW w:w="600" w:type="dxa"/>
            <w:vMerge w:val="continue"/>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DOOO7OOO</w:t>
            </w:r>
          </w:p>
        </w:tc>
        <w:tc>
          <w:tcPr>
            <w:tcW w:w="262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62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2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72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8" w:hRule="exact"/>
          <w:jc w:val="center"/>
        </w:trPr>
        <w:tc>
          <w:tcPr>
            <w:tcW w:w="1594"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D0215180</w:t>
            </w:r>
          </w:p>
        </w:tc>
        <w:tc>
          <w:tcPr>
            <w:tcW w:w="7161" w:type="dxa"/>
            <w:gridSpan w:val="7"/>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3" w:hRule="exact"/>
          <w:jc w:val="center"/>
        </w:trPr>
        <w:tc>
          <w:tcPr>
            <w:tcW w:w="1594" w:type="dxa"/>
            <w:gridSpan w:val="3"/>
            <w:vMerge w:val="continue"/>
            <w:tcBorders>
              <w:tl2br w:val="nil"/>
              <w:tr2bl w:val="nil"/>
            </w:tcBorders>
          </w:tcPr>
          <w:p>
            <w:pPr>
              <w:keepNext w:val="0"/>
              <w:keepLines w:val="0"/>
              <w:suppressLineNumbers w:val="0"/>
              <w:adjustRightInd w:val="0"/>
              <w:snapToGrid w:val="0"/>
              <w:spacing w:before="100" w:beforeAutospacing="0" w:after="10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D0215183</w:t>
            </w:r>
          </w:p>
        </w:tc>
        <w:tc>
          <w:tcPr>
            <w:tcW w:w="7161" w:type="dxa"/>
            <w:gridSpan w:val="7"/>
            <w:tcBorders>
              <w:tl2br w:val="nil"/>
              <w:tr2bl w:val="nil"/>
            </w:tcBorders>
            <w:vAlign w:val="center"/>
          </w:tcPr>
          <w:p>
            <w:pPr>
              <w:keepNext w:val="0"/>
              <w:keepLines w:val="0"/>
              <w:suppressLineNumbers w:val="0"/>
              <w:adjustRightInd w:val="0"/>
              <w:snapToGrid w:val="0"/>
              <w:spacing w:before="100" w:beforeAutospacing="0" w:after="10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exact"/>
          <w:jc w:val="center"/>
        </w:trPr>
        <w:tc>
          <w:tcPr>
            <w:tcW w:w="1594"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09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pStyle w:val="2"/>
        <w:spacing w:before="120"/>
        <w:rPr>
          <w:color w:val="000000" w:themeColor="text1"/>
          <w14:textFill>
            <w14:solidFill>
              <w14:schemeClr w14:val="tx1"/>
            </w14:solidFill>
          </w14:textFill>
        </w:rPr>
        <w:sectPr>
          <w:pgSz w:w="11906" w:h="16838"/>
          <w:pgMar w:top="1701" w:right="1474" w:bottom="1418" w:left="1418" w:header="1191" w:footer="1021" w:gutter="0"/>
          <w:pgNumType w:fmt="decimal" w:start="1"/>
          <w:cols w:space="0" w:num="1"/>
          <w:docGrid w:linePitch="317" w:charSpace="0"/>
        </w:sectPr>
      </w:pPr>
      <w:bookmarkStart w:id="16" w:name="_Toc9181"/>
      <w:bookmarkStart w:id="17" w:name="_Toc516559926"/>
      <w:bookmarkStart w:id="18" w:name="_Toc8053"/>
      <w:bookmarkStart w:id="19" w:name="_Toc14506"/>
      <w:bookmarkStart w:id="20" w:name="_Toc5511"/>
      <w:bookmarkStart w:id="21" w:name="_Toc9825"/>
      <w:bookmarkStart w:id="22" w:name="_Toc7731"/>
    </w:p>
    <w:p>
      <w:pPr>
        <w:pStyle w:val="2"/>
        <w:spacing w:before="120"/>
        <w:rPr>
          <w:rFonts w:hint="eastAsia"/>
          <w:color w:val="000000" w:themeColor="text1"/>
          <w14:textFill>
            <w14:solidFill>
              <w14:schemeClr w14:val="tx1"/>
            </w14:solidFill>
          </w14:textFill>
        </w:rPr>
      </w:pPr>
      <w:bookmarkStart w:id="23" w:name="_Toc527397090"/>
    </w:p>
    <w:p>
      <w:pPr>
        <w:pStyle w:val="2"/>
        <w:spacing w:before="120"/>
        <w:rPr>
          <w:color w:val="000000" w:themeColor="text1"/>
          <w14:textFill>
            <w14:solidFill>
              <w14:schemeClr w14:val="tx1"/>
            </w14:solidFill>
          </w14:textFill>
        </w:rPr>
      </w:pPr>
      <w:bookmarkStart w:id="24" w:name="_Toc5895"/>
      <w:r>
        <w:rPr>
          <w:rFonts w:hint="eastAsia"/>
          <w:color w:val="000000" w:themeColor="text1"/>
          <w14:textFill>
            <w14:solidFill>
              <w14:schemeClr w14:val="tx1"/>
            </w14:solidFill>
          </w14:textFill>
        </w:rPr>
        <w:t>教育技术学学术学位硕士研究生培养方案</w:t>
      </w:r>
      <w:bookmarkEnd w:id="16"/>
      <w:bookmarkEnd w:id="17"/>
      <w:bookmarkEnd w:id="18"/>
      <w:bookmarkEnd w:id="19"/>
      <w:bookmarkEnd w:id="20"/>
      <w:bookmarkEnd w:id="21"/>
      <w:bookmarkEnd w:id="22"/>
      <w:bookmarkEnd w:id="23"/>
      <w:bookmarkEnd w:id="24"/>
    </w:p>
    <w:p>
      <w:pPr>
        <w:spacing w:before="72" w:beforeLines="30" w:after="240" w:afterLines="100" w:line="520" w:lineRule="exact"/>
        <w:jc w:val="center"/>
        <w:rPr>
          <w:rFonts w:ascii="楷体_GB2312" w:hAnsi="楷体_GB2312" w:eastAsia="楷体_GB2312" w:cs="楷体_GB2312"/>
          <w:bCs/>
          <w:color w:val="000000" w:themeColor="text1"/>
          <w:sz w:val="24"/>
          <w14:textFill>
            <w14:solidFill>
              <w14:schemeClr w14:val="tx1"/>
            </w14:solidFill>
          </w14:textFill>
        </w:rPr>
      </w:pPr>
      <w:r>
        <w:rPr>
          <w:rFonts w:hint="eastAsia" w:ascii="楷体_GB2312" w:hAnsi="楷体_GB2312" w:eastAsia="楷体_GB2312" w:cs="楷体_GB2312"/>
          <w:bCs/>
          <w:color w:val="000000" w:themeColor="text1"/>
          <w:sz w:val="24"/>
          <w14:textFill>
            <w14:solidFill>
              <w14:schemeClr w14:val="tx1"/>
            </w14:solidFill>
          </w14:textFill>
        </w:rPr>
        <w:t>(学科及专业代码：078401)</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技术学是教育学一级学科下设的二级学科。该学科主要研究在教育中运用信息技术来促进学习、提高绩效的理论、规律和方法。它以学习理论、教学理论和传播理论为基础，运用技术来优化教育过程、开发教育资源，提高教育质量和效益。</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技术学是一门新兴的应用型交叉学科，是现代信息技术与现代教育理论相结合的产物，与其相近的一级学科主要有教育学、心理学和计算机科学与技术。很多相关学科新观念、新理论的相互影响和交叉渗透，形成了本学科的理论基础，推动着本学科的持续发展。</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过近30年的发展，教育技术学的学科理论体系基本成熟，形成了由教育技术学原理、教学设计理论、教育传播学、教育媒体理论与实践、信息化教学论、远程教育学、教育技术管理等组成的稳定的学科体系结构，且随着教育信息化的发展，教育技术的理论与实践成果仍在不断扩充，因此，教育技术学是极富活力的教育学二级学科。教育技术学的人才培养体系已基本完善，形成了包括专科、本科、硕士、博士和博士后在内的完整的人才培养体系，其研究方向涵盖教育技术基本理论、教学设计与绩效技术、教育信息化教育理论研究、现代远程教育应用、学习科学与知识工程、教育技术管理、多媒体技术、数字化学习资源设计与开发，人工智能技术、虚拟现实技术、大数据分析技术等新型信息技术在教育中的应用等多个方面，充分体现了教育技术学科发展与人才培养对教育信息化及其人才需求的适应性。在国家教育信息化战略的实施过程中，教育技术在促进教育公平、推动学习型社会建设、提高传统教育教学的效率、促进智能化、个性化学习的实现、促进创新人才的培养等多个方面必将发挥越来越重要的作用。</w: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西北师范大学</w:t>
      </w:r>
      <w:r>
        <w:rPr>
          <w:rFonts w:hint="eastAsia" w:ascii="宋体" w:hAnsi="宋体"/>
          <w:color w:val="000000" w:themeColor="text1"/>
          <w:sz w:val="24"/>
          <w14:textFill>
            <w14:solidFill>
              <w14:schemeClr w14:val="tx1"/>
            </w14:solidFill>
          </w14:textFill>
        </w:rPr>
        <w:t>是我国最早开办</w:t>
      </w:r>
      <w:r>
        <w:rPr>
          <w:rFonts w:ascii="宋体" w:hAnsi="宋体"/>
          <w:color w:val="000000" w:themeColor="text1"/>
          <w:sz w:val="24"/>
          <w14:textFill>
            <w14:solidFill>
              <w14:schemeClr w14:val="tx1"/>
            </w14:solidFill>
          </w14:textFill>
        </w:rPr>
        <w:t>教育技术</w:t>
      </w:r>
      <w:r>
        <w:rPr>
          <w:rFonts w:hint="eastAsia" w:ascii="宋体" w:hAnsi="宋体"/>
          <w:color w:val="000000" w:themeColor="text1"/>
          <w:sz w:val="24"/>
          <w14:textFill>
            <w14:solidFill>
              <w14:schemeClr w14:val="tx1"/>
            </w14:solidFill>
          </w14:textFill>
        </w:rPr>
        <w:t>学专业的高等学校之一</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1993</w:t>
      </w:r>
      <w:r>
        <w:rPr>
          <w:rFonts w:ascii="宋体" w:hAnsi="宋体"/>
          <w:color w:val="000000" w:themeColor="text1"/>
          <w:sz w:val="24"/>
          <w14:textFill>
            <w14:solidFill>
              <w14:schemeClr w14:val="tx1"/>
            </w14:solidFill>
          </w14:textFill>
        </w:rPr>
        <w:t>年经国务院学位委员会批准设立教育技术学硕士点。</w:t>
      </w:r>
      <w:r>
        <w:rPr>
          <w:rFonts w:hint="eastAsia" w:ascii="宋体" w:hAnsi="宋体"/>
          <w:color w:val="000000" w:themeColor="text1"/>
          <w:sz w:val="24"/>
          <w14:textFill>
            <w14:solidFill>
              <w14:schemeClr w14:val="tx1"/>
            </w14:solidFill>
          </w14:textFill>
        </w:rPr>
        <w:t>2006年教育技术学科被评为甘肃省省级重点学科。该学科现已形成现代教育技术原理、信息技术与教育应用、教学设计与绩效技术、现代远程教育和数字教学资源与环境等五个稳定的硕士培养方向。</w:t>
      </w:r>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本专业培养具有良好的思想政治素质和学术道德，具有较高的信息素养和创新精神，熟练掌握现代教育理论和现代信息技术，</w:t>
      </w:r>
      <w:r>
        <w:rPr>
          <w:rFonts w:ascii="宋体" w:hAnsi="宋体" w:cs="宋体"/>
          <w:bCs/>
          <w:color w:val="000000" w:themeColor="text1"/>
          <w:kern w:val="0"/>
          <w:sz w:val="24"/>
          <w14:textFill>
            <w14:solidFill>
              <w14:schemeClr w14:val="tx1"/>
            </w14:solidFill>
          </w14:textFill>
        </w:rPr>
        <w:t>掌握教学设计、教学资源开发的理论与技术</w:t>
      </w:r>
      <w:r>
        <w:rPr>
          <w:rFonts w:hint="eastAsia" w:ascii="宋体" w:hAnsi="宋体" w:cs="宋体"/>
          <w:bCs/>
          <w:color w:val="000000" w:themeColor="text1"/>
          <w:kern w:val="0"/>
          <w:sz w:val="24"/>
          <w14:textFill>
            <w14:solidFill>
              <w14:schemeClr w14:val="tx1"/>
            </w14:solidFill>
          </w14:textFill>
        </w:rPr>
        <w:t>，理论功底扎实、学术</w:t>
      </w:r>
      <w:r>
        <w:rPr>
          <w:rFonts w:ascii="宋体" w:hAnsi="宋体" w:cs="宋体"/>
          <w:bCs/>
          <w:color w:val="000000" w:themeColor="text1"/>
          <w:kern w:val="0"/>
          <w:sz w:val="24"/>
          <w14:textFill>
            <w14:solidFill>
              <w14:schemeClr w14:val="tx1"/>
            </w14:solidFill>
          </w14:textFill>
        </w:rPr>
        <w:t>视野</w:t>
      </w:r>
      <w:r>
        <w:rPr>
          <w:rFonts w:hint="eastAsia" w:ascii="宋体" w:hAnsi="宋体" w:cs="宋体"/>
          <w:bCs/>
          <w:color w:val="000000" w:themeColor="text1"/>
          <w:kern w:val="0"/>
          <w:sz w:val="24"/>
          <w14:textFill>
            <w14:solidFill>
              <w14:schemeClr w14:val="tx1"/>
            </w14:solidFill>
          </w14:textFill>
        </w:rPr>
        <w:t>宽广、实践能力强，德、智、体、美和谐发展，适应我国现代化建设和社会发展需要的应用型、复合型教育技术学科高级专门人才。本专业毕业硕士生应了解信息化教育领域的国内外发展动态与应用前景；掌握基本的教育科学与技术研究方法，具有独立从事教育技术学专业教学、科研及管理的能力；能较熟练地运用一门外国语阅读本专业外文书籍和资料，能用外语写出学位论文摘要。同时具有理论联系实践、独立思考、问题解决、推理与归纳等能力。</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 xml:space="preserve">1.采取导师负责与导师组集体培养相结合的培养方式。成立本专业硕士研究生指导小组，成员为本专业的硕士生导师。导师是硕士生培养的第一责任人，在硕士生培养中起主导作用；硕士生指导小组配合导师全程参与硕士生的指导工作，充分发挥集体培养优势，为硕士生营造良好的学术环境，使硕士生在博采众长中实现创新能力的提高。 </w:t>
      </w:r>
    </w:p>
    <w:p>
      <w:pPr>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2.与校外科研院所或企业联合进行培养，给硕士生提供更好的实践锻炼机会，提高他们专业应用能力。</w:t>
      </w:r>
    </w:p>
    <w:p>
      <w:pPr>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 xml:space="preserve">3.有计划地聘请国内外著名学者授课；鼓励硕士研究生积极参加校内外有关学术活动，加强学术交流与协作，让学生更多地了解学科领域前沿和发展动态，提高学生的社会交往和社会服务能力。 </w:t>
      </w:r>
    </w:p>
    <w:p>
      <w:pPr>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4.每个研究生必须在导师指导下，参与一项立项课题的研究工作，通过课题研究，巩固专业基础理论，扩大专业知识范围。</w:t>
      </w:r>
    </w:p>
    <w:p>
      <w:pPr>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5.课程学习方面，充分利用信息技术环境，开展专题讨论和研讨式教学，开展研究性自主学习与协作学习，培养学生的创新能力和创新意识。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计算机、心理学等相关学科知识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硕士研究生基本学制3年，最长学习年限5年。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1.现代教育技术原理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2.信息技术与教育应用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3.教学设计与绩效技术</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4.现代远程教育</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5.数字教学资源与环境</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研究生在学习期间须修满不少于35学分，其中公共必修课5学分，其他培养环节2学分。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八、课程设置及考核方式</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九、学位(毕业)论文</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学位（毕业）论文在导师的指导下，由研究生本人独立完成，时间不少于一年。在论文工作中注意做到：</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1.论文选题</w:t>
      </w:r>
      <w:r>
        <w:rPr>
          <w:rFonts w:ascii="宋体" w:hAnsi="宋体" w:cs="宋体"/>
          <w:bCs/>
          <w:color w:val="000000" w:themeColor="text1"/>
          <w:kern w:val="0"/>
          <w:sz w:val="24"/>
          <w14:textFill>
            <w14:solidFill>
              <w14:schemeClr w14:val="tx1"/>
            </w14:solidFill>
          </w14:textFill>
        </w:rPr>
        <w:t>必须经过充分</w:t>
      </w:r>
      <w:r>
        <w:rPr>
          <w:rFonts w:hint="eastAsia" w:ascii="宋体" w:hAnsi="宋体" w:cs="宋体"/>
          <w:bCs/>
          <w:color w:val="000000" w:themeColor="text1"/>
          <w:kern w:val="0"/>
          <w:sz w:val="24"/>
          <w14:textFill>
            <w14:solidFill>
              <w14:schemeClr w14:val="tx1"/>
            </w14:solidFill>
          </w14:textFill>
        </w:rPr>
        <w:t>论证</w:t>
      </w:r>
      <w:r>
        <w:rPr>
          <w:rFonts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要广泛</w:t>
      </w:r>
      <w:r>
        <w:rPr>
          <w:rFonts w:ascii="宋体" w:hAnsi="宋体" w:cs="宋体"/>
          <w:bCs/>
          <w:color w:val="000000" w:themeColor="text1"/>
          <w:kern w:val="0"/>
          <w:sz w:val="24"/>
          <w14:textFill>
            <w14:solidFill>
              <w14:schemeClr w14:val="tx1"/>
            </w14:solidFill>
          </w14:textFill>
        </w:rPr>
        <w:t>查阅相关的参考文献</w:t>
      </w:r>
      <w:r>
        <w:rPr>
          <w:rFonts w:hint="eastAsia" w:ascii="宋体" w:hAnsi="宋体" w:cs="宋体"/>
          <w:bCs/>
          <w:color w:val="000000" w:themeColor="text1"/>
          <w:kern w:val="0"/>
          <w:sz w:val="24"/>
          <w14:textFill>
            <w14:solidFill>
              <w14:schemeClr w14:val="tx1"/>
            </w14:solidFill>
          </w14:textFill>
        </w:rPr>
        <w:t>，</w:t>
      </w:r>
      <w:r>
        <w:rPr>
          <w:rFonts w:ascii="宋体" w:hAnsi="宋体" w:cs="宋体"/>
          <w:bCs/>
          <w:color w:val="000000" w:themeColor="text1"/>
          <w:kern w:val="0"/>
          <w:sz w:val="24"/>
          <w14:textFill>
            <w14:solidFill>
              <w14:schemeClr w14:val="tx1"/>
            </w14:solidFill>
          </w14:textFill>
        </w:rPr>
        <w:t>了解国内外</w:t>
      </w:r>
      <w:r>
        <w:rPr>
          <w:rFonts w:hint="eastAsia" w:ascii="宋体" w:hAnsi="宋体" w:cs="宋体"/>
          <w:bCs/>
          <w:color w:val="000000" w:themeColor="text1"/>
          <w:kern w:val="0"/>
          <w:sz w:val="24"/>
          <w14:textFill>
            <w14:solidFill>
              <w14:schemeClr w14:val="tx1"/>
            </w14:solidFill>
          </w14:textFill>
        </w:rPr>
        <w:t>本</w:t>
      </w:r>
      <w:r>
        <w:rPr>
          <w:rFonts w:ascii="宋体" w:hAnsi="宋体" w:cs="宋体"/>
          <w:bCs/>
          <w:color w:val="000000" w:themeColor="text1"/>
          <w:kern w:val="0"/>
          <w:sz w:val="24"/>
          <w14:textFill>
            <w14:solidFill>
              <w14:schemeClr w14:val="tx1"/>
            </w14:solidFill>
          </w14:textFill>
        </w:rPr>
        <w:t>领域的研究历史和现状，</w:t>
      </w:r>
      <w:r>
        <w:rPr>
          <w:rFonts w:hint="eastAsia" w:ascii="宋体" w:hAnsi="宋体" w:cs="宋体"/>
          <w:bCs/>
          <w:color w:val="000000" w:themeColor="text1"/>
          <w:kern w:val="0"/>
          <w:sz w:val="24"/>
          <w14:textFill>
            <w14:solidFill>
              <w14:schemeClr w14:val="tx1"/>
            </w14:solidFill>
          </w14:textFill>
        </w:rPr>
        <w:t>论文选题应该具有一定的理论意义和应用价值。</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2.鼓励和支持研究生参与导师承担的科研项目，并从中确立学位（毕业）论文选题。</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3.学位（毕业）论文应该具有较高的理论水平，表明作者对研究课题具有独立、创新的见解。论文的写作及打印格式等参考《西北师范大学博士/硕士学位论文打印要求》等有关规定执行。</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4.论文撰写完成后，由学校学位评定委员会办公室和学院聘请本领域的专家进行评审，论文评审通过后方可进行答辩。论文评审及答辩的具体要求按照《西北师范大学硕士、博士学位授予办法》</w:t>
      </w:r>
      <w:r>
        <w:rPr>
          <w:rFonts w:hint="eastAsia" w:cs="宋体" w:asciiTheme="minorEastAsia" w:hAnsiTheme="minorEastAsia"/>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西师发（2017）8号</w:t>
      </w:r>
      <w:r>
        <w:rPr>
          <w:rFonts w:hint="eastAsia" w:cs="宋体" w:asciiTheme="minorEastAsia" w:hAnsiTheme="minorEastAsia"/>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等有关规定执行。</w:t>
      </w: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p>
    <w:p>
      <w:pPr>
        <w:adjustRightInd w:val="0"/>
        <w:snapToGrid w:val="0"/>
        <w:spacing w:line="48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附件：教育技术学学术学位硕士研究生课程设置与教学计划表</w:t>
      </w:r>
    </w:p>
    <w:p>
      <w:pPr>
        <w:adjustRightInd w:val="0"/>
        <w:snapToGrid w:val="0"/>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     </w:t>
      </w:r>
    </w:p>
    <w:p>
      <w:pPr>
        <w:spacing w:line="480" w:lineRule="exact"/>
        <w:rPr>
          <w:rFonts w:ascii="楷体_GB2312" w:eastAsia="楷体_GB2312"/>
          <w:b/>
          <w:color w:val="000000" w:themeColor="text1"/>
          <w:sz w:val="24"/>
          <w14:textFill>
            <w14:solidFill>
              <w14:schemeClr w14:val="tx1"/>
            </w14:solidFill>
          </w14:textFill>
        </w:rPr>
      </w:pPr>
      <w:r>
        <w:rPr>
          <w:rFonts w:ascii="楷体_GB2312" w:eastAsia="楷体_GB2312"/>
          <w:b/>
          <w:color w:val="000000" w:themeColor="text1"/>
          <w:sz w:val="24"/>
          <w14:textFill>
            <w14:solidFill>
              <w14:schemeClr w14:val="tx1"/>
            </w14:solidFill>
          </w14:textFill>
        </w:rPr>
        <w:br w:type="page"/>
      </w:r>
      <w:r>
        <w:rPr>
          <w:rFonts w:hint="eastAsia" w:ascii="宋体" w:hAnsi="宋体" w:eastAsia="宋体" w:cs="宋体"/>
          <w:bCs/>
          <w:color w:val="000000" w:themeColor="text1"/>
          <w:sz w:val="24"/>
          <w14:textFill>
            <w14:solidFill>
              <w14:schemeClr w14:val="tx1"/>
            </w14:solidFill>
          </w14:textFill>
        </w:rPr>
        <w:t>附件：</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教育技术学学术学位硕士研究生课程设置与教学计划表</w:t>
      </w:r>
    </w:p>
    <w:tbl>
      <w:tblPr>
        <w:tblStyle w:val="7"/>
        <w:tblW w:w="9686" w:type="dxa"/>
        <w:tblInd w:w="-20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70"/>
        <w:gridCol w:w="379"/>
        <w:gridCol w:w="463"/>
        <w:gridCol w:w="966"/>
        <w:gridCol w:w="2264"/>
        <w:gridCol w:w="800"/>
        <w:gridCol w:w="625"/>
        <w:gridCol w:w="615"/>
        <w:gridCol w:w="585"/>
        <w:gridCol w:w="1487"/>
        <w:gridCol w:w="83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trPr>
        <w:tc>
          <w:tcPr>
            <w:tcW w:w="1512" w:type="dxa"/>
            <w:gridSpan w:val="3"/>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6"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264"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800"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25"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5"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85"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87"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832" w:type="dxa"/>
            <w:tcBorders>
              <w:tl2br w:val="nil"/>
              <w:tr2bl w:val="nil"/>
            </w:tcBorders>
            <w:vAlign w:val="center"/>
          </w:tcPr>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tabs>
                <w:tab w:val="center" w:pos="4153"/>
                <w:tab w:val="right" w:pos="8306"/>
              </w:tabs>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842" w:type="dxa"/>
            <w:gridSpan w:val="2"/>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共</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中国特色社会主义理论与实践研究</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2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M0212171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安富海</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M0212172</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马光仲</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M0213172</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教育技术学研究方法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王文君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专业必修课</w:t>
            </w:r>
          </w:p>
        </w:tc>
        <w:tc>
          <w:tcPr>
            <w:tcW w:w="463"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方向一</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教育传播原理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MO212173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现代教育技术原理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俞树煜</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远程教育原理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李建珍</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信息时代的学校教育发展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方向二</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信息时代的学校教育发展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学习科学与技术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蔡旻君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MO212174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教学设计与绩效技术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张筱兰</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MO214175</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数字教学资源设计与开发</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  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方向三</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MO212174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教学设计与绩效技术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张筱兰</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学习科学与技术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蔡旻君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MO212173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现代教育技术原理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俞树煜</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信息时代的学校教育发展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方向四</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远程教育原理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李建珍</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教育传播原理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学习科学与技术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蔡旻君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信息时代的学校教育发展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方向五</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MO212174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教学设计与绩效技术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张筱兰</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MO214175</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数字教学资源设计与开发</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  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MO213171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教育传播原理</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63"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MO214173</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信息时代的学校教育发展</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郭绍青</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842" w:type="dxa"/>
            <w:gridSpan w:val="2"/>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M0214171</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信息化学习环境设计</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健</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M0214172</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教育APP设计与开发</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张学军</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M0214174</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虚拟现实技术</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魏小东</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M0214176</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社会性软件与学习</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张雪莉</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M0214177</w:t>
            </w:r>
          </w:p>
        </w:tc>
        <w:tc>
          <w:tcPr>
            <w:tcW w:w="226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MOOC课程</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全学期</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教育技术学院</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MOOO7OOO</w:t>
            </w:r>
          </w:p>
        </w:tc>
        <w:tc>
          <w:tcPr>
            <w:tcW w:w="2264"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800"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7"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832"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670" w:type="dxa"/>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2" w:type="dxa"/>
            <w:gridSpan w:val="2"/>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2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8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1512" w:type="dxa"/>
            <w:gridSpan w:val="3"/>
            <w:vMerge w:val="restart"/>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w:t>
            </w:r>
          </w:p>
        </w:tc>
        <w:tc>
          <w:tcPr>
            <w:tcW w:w="7208" w:type="dxa"/>
            <w:gridSpan w:val="7"/>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参加学术讲座（1学分）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1512" w:type="dxa"/>
            <w:gridSpan w:val="3"/>
            <w:vMerge w:val="continue"/>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课例分析</w:t>
            </w:r>
          </w:p>
        </w:tc>
        <w:tc>
          <w:tcPr>
            <w:tcW w:w="7208" w:type="dxa"/>
            <w:gridSpan w:val="7"/>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撰写课例分析（1学分）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trPr>
        <w:tc>
          <w:tcPr>
            <w:tcW w:w="1512" w:type="dxa"/>
            <w:gridSpan w:val="3"/>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74" w:type="dxa"/>
            <w:gridSpan w:val="8"/>
            <w:tcBorders>
              <w:tl2br w:val="nil"/>
              <w:tr2bl w:val="nil"/>
            </w:tcBorders>
            <w:vAlign w:val="center"/>
          </w:tcPr>
          <w:p>
            <w:pPr>
              <w:keepNext w:val="0"/>
              <w:keepLines w:val="0"/>
              <w:suppressLineNumbers w:val="0"/>
              <w:tabs>
                <w:tab w:val="center" w:pos="4153"/>
                <w:tab w:val="right" w:pos="8306"/>
              </w:tabs>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358" w:leftChars="-179" w:right="-370" w:rightChars="-176" w:hanging="18" w:hangingChars="10"/>
        <w:rPr>
          <w:rFonts w:ascii="楷体_GB2312" w:hAnsi="楷体_GB2312" w:eastAsia="楷体_GB2312" w:cs="楷体_GB2312"/>
          <w:bCs/>
          <w:color w:val="000000" w:themeColor="text1"/>
          <w:sz w:val="18"/>
          <w:szCs w:val="18"/>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注：跨学科或同等学力考入的硕士研究生，应补修本专业大学本科课程2-3门。具体为：补修课程一律不计学分，以通过考试为准。</w:t>
      </w:r>
    </w:p>
    <w:p>
      <w:pPr>
        <w:spacing w:before="72" w:beforeLines="30" w:line="240" w:lineRule="exact"/>
        <w:ind w:left="-358" w:leftChars="-179" w:right="-370" w:rightChars="-176" w:hanging="18" w:hangingChars="10"/>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pPr>
    </w:p>
    <w:p>
      <w:pPr>
        <w:rPr>
          <w:rFonts w:eastAsia="黑体"/>
          <w:color w:val="000000" w:themeColor="text1"/>
          <w:kern w:val="44"/>
          <w:sz w:val="32"/>
          <w14:textFill>
            <w14:solidFill>
              <w14:schemeClr w14:val="tx1"/>
            </w14:solidFill>
          </w14:textFill>
        </w:rPr>
      </w:pPr>
      <w:bookmarkStart w:id="25" w:name="_Toc12284"/>
      <w:bookmarkStart w:id="26" w:name="_Toc17254"/>
      <w:bookmarkStart w:id="27" w:name="_Toc516559927"/>
      <w:bookmarkStart w:id="28" w:name="_Toc770"/>
      <w:bookmarkStart w:id="29" w:name="_Toc24806"/>
      <w:bookmarkStart w:id="30" w:name="_Toc16087"/>
      <w:bookmarkStart w:id="31" w:name="_Toc6643"/>
    </w:p>
    <w:p>
      <w:pPr>
        <w:rPr>
          <w:rFonts w:eastAsia="黑体"/>
          <w:color w:val="000000" w:themeColor="text1"/>
          <w:kern w:val="44"/>
          <w:sz w:val="32"/>
          <w14:textFill>
            <w14:solidFill>
              <w14:schemeClr w14:val="tx1"/>
            </w14:solidFill>
          </w14:textFill>
        </w:rPr>
      </w:pPr>
    </w:p>
    <w:p>
      <w:pPr>
        <w:rPr>
          <w:rFonts w:eastAsia="黑体"/>
          <w:color w:val="000000" w:themeColor="text1"/>
          <w:kern w:val="44"/>
          <w:sz w:val="32"/>
          <w14:textFill>
            <w14:solidFill>
              <w14:schemeClr w14:val="tx1"/>
            </w14:solidFill>
          </w14:textFill>
        </w:rPr>
      </w:pPr>
    </w:p>
    <w:p>
      <w:pPr>
        <w:rPr>
          <w:rFonts w:eastAsia="黑体"/>
          <w:color w:val="000000" w:themeColor="text1"/>
          <w:kern w:val="44"/>
          <w:sz w:val="32"/>
          <w14:textFill>
            <w14:solidFill>
              <w14:schemeClr w14:val="tx1"/>
            </w14:solidFill>
          </w14:textFill>
        </w:rPr>
      </w:pPr>
    </w:p>
    <w:p>
      <w:pPr>
        <w:rPr>
          <w:rFonts w:eastAsia="黑体"/>
          <w:color w:val="000000" w:themeColor="text1"/>
          <w:kern w:val="44"/>
          <w:sz w:val="32"/>
          <w14:textFill>
            <w14:solidFill>
              <w14:schemeClr w14:val="tx1"/>
            </w14:solidFill>
          </w14:textFill>
        </w:rPr>
      </w:pPr>
    </w:p>
    <w:p>
      <w:pPr>
        <w:rPr>
          <w:rFonts w:eastAsia="黑体"/>
          <w:color w:val="000000" w:themeColor="text1"/>
          <w:kern w:val="44"/>
          <w:sz w:val="32"/>
          <w14:textFill>
            <w14:solidFill>
              <w14:schemeClr w14:val="tx1"/>
            </w14:solidFill>
          </w14:textFill>
        </w:rPr>
      </w:pPr>
    </w:p>
    <w:p>
      <w:pPr>
        <w:rPr>
          <w:rFonts w:eastAsia="黑体"/>
          <w:color w:val="000000" w:themeColor="text1"/>
          <w:kern w:val="44"/>
          <w:sz w:val="32"/>
          <w14:textFill>
            <w14:solidFill>
              <w14:schemeClr w14:val="tx1"/>
            </w14:solidFill>
          </w14:textFill>
        </w:rPr>
      </w:pPr>
    </w:p>
    <w:p>
      <w:pPr>
        <w:rPr>
          <w:color w:val="000000" w:themeColor="text1"/>
          <w14:textFill>
            <w14:solidFill>
              <w14:schemeClr w14:val="tx1"/>
            </w14:solidFill>
          </w14:textFill>
        </w:rPr>
        <w:sectPr>
          <w:headerReference r:id="rId5" w:type="default"/>
          <w:footerReference r:id="rId6" w:type="default"/>
          <w:type w:val="continuous"/>
          <w:pgSz w:w="11906" w:h="16838"/>
          <w:pgMar w:top="1417" w:right="1474" w:bottom="1417" w:left="1418" w:header="1191" w:footer="1020" w:gutter="0"/>
          <w:pgNumType w:fmt="decimal"/>
          <w:cols w:space="0" w:num="1"/>
          <w:docGrid w:linePitch="312" w:charSpace="0"/>
        </w:sectPr>
      </w:pPr>
    </w:p>
    <w:p>
      <w:pPr>
        <w:pStyle w:val="2"/>
        <w:spacing w:before="120"/>
        <w:rPr>
          <w:color w:val="000000" w:themeColor="text1"/>
          <w14:textFill>
            <w14:solidFill>
              <w14:schemeClr w14:val="tx1"/>
            </w14:solidFill>
          </w14:textFill>
        </w:rPr>
      </w:pPr>
      <w:bookmarkStart w:id="32" w:name="_Toc527397091"/>
      <w:bookmarkStart w:id="33" w:name="_Toc4829"/>
      <w:r>
        <w:rPr>
          <w:rFonts w:hint="eastAsia"/>
          <w:color w:val="000000" w:themeColor="text1"/>
          <w14:textFill>
            <w14:solidFill>
              <w14:schemeClr w14:val="tx1"/>
            </w14:solidFill>
          </w14:textFill>
        </w:rPr>
        <w:t>教育硕士现代教育技术专业学位研究生培养方案</w:t>
      </w:r>
      <w:bookmarkEnd w:id="25"/>
      <w:bookmarkEnd w:id="26"/>
      <w:bookmarkEnd w:id="27"/>
      <w:bookmarkEnd w:id="28"/>
      <w:bookmarkEnd w:id="29"/>
      <w:bookmarkEnd w:id="30"/>
      <w:bookmarkEnd w:id="31"/>
      <w:bookmarkEnd w:id="32"/>
      <w:bookmarkEnd w:id="33"/>
    </w:p>
    <w:p>
      <w:pPr>
        <w:tabs>
          <w:tab w:val="left" w:pos="9360"/>
        </w:tabs>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（专业代码：045114）</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培养具有现代教育观念、较高的信息技术素养、较好的信息技术融入教育教学能力及一定研究能力的应用型中小学信息化学科教师、中小学信息技术教师及数字化校园管理人员。具体要求为：</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具备科学精神、人文精神、先进的教育思想，具有较高的现代教育理论素养，具有良好的教师职业道德素质，能够为学生创设并保持良好的学习环境。</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3.掌握现代教育理论，具有良好的学识修养和扎实的专业基础，了解教育技术学科前沿和发展趋势。</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较强的教育技术实践能力，能胜任相关的教育教学工作，在现代教育理论指导下运用所学理论和方法，熟练使用现代教育技术，解决学科教育或教育管理实践中的实际问题；能理论结合实践，发挥自身优势，开展创造性的教育教学工作。</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5.熟悉基础教育课程改革，掌握基础教育课程改革的新理念、新内容和新方法。</w:t>
      </w:r>
    </w:p>
    <w:p>
      <w:pPr>
        <w:spacing w:line="480" w:lineRule="exact"/>
        <w:ind w:firstLine="480" w:firstLineChars="200"/>
        <w:rPr>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6.能运用一种外国</w:t>
      </w:r>
      <w:r>
        <w:rPr>
          <w:rFonts w:hint="eastAsia"/>
          <w:color w:val="000000" w:themeColor="text1"/>
          <w:sz w:val="24"/>
          <w14:textFill>
            <w14:solidFill>
              <w14:schemeClr w14:val="tx1"/>
            </w14:solidFill>
          </w14:textFill>
        </w:rPr>
        <w:t>语阅读本专业的外文文献资料。</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基本学制3年，</w:t>
      </w:r>
      <w:r>
        <w:rPr>
          <w:rFonts w:hint="eastAsia" w:ascii="宋体" w:hAnsi="宋体" w:cs="宋体"/>
          <w:color w:val="000000" w:themeColor="text1"/>
          <w:kern w:val="0"/>
          <w:sz w:val="24"/>
          <w14:textFill>
            <w14:solidFill>
              <w14:schemeClr w14:val="tx1"/>
            </w14:solidFill>
          </w14:textFill>
        </w:rPr>
        <w:t>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四、课程设置</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坚持理论与实践相结合的原则，课程分为学位基础课程、专业必修课程、专业选修课程和实践教学四个模块，在学习期间至少须修满37学分。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（一）学位基础课（13学分）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1．外语（2学分）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2．中国特色科学社会主义理论与实践研究（2学分）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3.马克思主义与社会科学方法论 (1学分)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4.教育原理（2学分）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5.课程与教学论（2学分）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6.教育研究方法（2学分）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7.心理发展与教育（2学分）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（二）专业必修课（10学分）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1.信息技术课程与教材研究（2学分）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2.信息技术课程教学设计与实施（2学分）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3.自设课程（3门，6学分）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（1）创客教育（2学分）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（2）数字教学资源设计与开发（2学分）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（3）虚拟现实技术（2学分）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1.专业理论知识类课程</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（1）现代教育技术基础（2学分）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（2）信息技术与基础教育改革（2学分）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2.教学专业技能类课程</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（1）信息化教学环境应用（2学分）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（2）MOOC课程（国家爱课程网系列教师教学技能培养类课程）（2学分）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（1）教育信息化政策解读（2学分）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（2）社会性软件与学习（2学分）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（四）实践教学（8学分）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1.校内实训（2学分）：包括教学技能训练、微格教学、课例分析等。</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2.校外实践（6学分）：包括教育见习（1学分）、教育实习（4学分）、教育研习（完成教育实习与基础教育信息化调查）（1学分）等。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视理论与实践相结合，成立导师组负责研究生的指导，并在中小学聘任有经验的高级教师担任指导教师，实行双导师制。在中小学建立稳定的教育实践基地，做好教育实践活动的组织与实施。校内外导师共同指导学生的学习和研究工作。</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培养目标、课程性质和教学内容，选择恰当的教学方法，注重实践与反思，采用课堂参与、小组研讨、案例教学、合作学习、模拟教学等方式。注重课内与课外学习相结合，关注学生的主动学习与创新学习；充分利用互联网等现代教学技术手段，开展线上线下结合的混合式教学。</w:t>
      </w:r>
      <w:r>
        <w:rPr>
          <w:rFonts w:hint="eastAsia" w:cs="宋体"/>
          <w:color w:val="000000" w:themeColor="text1"/>
          <w:kern w:val="0"/>
          <w:sz w:val="24"/>
          <w14:textFill>
            <w14:solidFill>
              <w14:schemeClr w14:val="tx1"/>
            </w14:solidFill>
          </w14:textFill>
        </w:rPr>
        <w:t>充分利用网络平台提供丰富和能便捷利用的学习资源，并记录并监控学生学习过程。</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践教学有明确的目标和具体内容，有完善的管理与评价制度，有序组织实施。实践教学原则上不少于年，其中校外实践不少于1学期。校内实训、教育见习在第一年内完成；教育实习、教育研习应在第三学年完成。有充足的实践实训设施和稳定的校外实践基地，切实保障实践教学活动的有效开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七、学位(毕业)论文</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.学位论文选题应与现代教育技术领域的培养目标相一致，来源于基础教育学校和中等职业技术学校的教育、教学和管理的实际问题。</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2.学位论文应符合研究规范并凸显应与价值，论文的形式可以多样化，如专题研究论文、调查研究报告和研究研究报告等。论文字数不少于2.5万。</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论文写作及打印格式等按照</w:t>
      </w:r>
      <w:r>
        <w:rPr>
          <w:rFonts w:hint="eastAsia" w:ascii="宋体" w:hAnsi="宋体" w:eastAsia="宋体" w:cs="宋体"/>
          <w:color w:val="000000" w:themeColor="text1"/>
          <w:kern w:val="0"/>
          <w:sz w:val="24"/>
          <w14:textFill>
            <w14:solidFill>
              <w14:schemeClr w14:val="tx1"/>
            </w14:solidFill>
          </w14:textFill>
        </w:rPr>
        <w:t>《西北师范大学博士/硕士学位论文打印要求》</w:t>
      </w:r>
      <w:r>
        <w:rPr>
          <w:rFonts w:hint="eastAsia" w:ascii="宋体" w:hAnsi="宋体" w:eastAsia="宋体" w:cs="宋体"/>
          <w:color w:val="000000" w:themeColor="text1"/>
          <w:sz w:val="24"/>
          <w14:textFill>
            <w14:solidFill>
              <w14:schemeClr w14:val="tx1"/>
            </w14:solidFill>
          </w14:textFill>
        </w:rPr>
        <w:t>等有关规定执行。</w:t>
      </w:r>
    </w:p>
    <w:p>
      <w:pPr>
        <w:adjustRightInd w:val="0"/>
        <w:snapToGrid w:val="0"/>
        <w:spacing w:line="480" w:lineRule="exact"/>
        <w:ind w:firstLine="460" w:firstLineChars="200"/>
        <w:rPr>
          <w:rFonts w:ascii="宋体" w:hAnsi="宋体" w:eastAsia="宋体" w:cs="宋体"/>
          <w:color w:val="000000" w:themeColor="text1"/>
          <w:spacing w:val="-2"/>
          <w:kern w:val="0"/>
          <w:sz w:val="24"/>
          <w14:textFill>
            <w14:solidFill>
              <w14:schemeClr w14:val="tx1"/>
            </w14:solidFill>
          </w14:textFill>
        </w:rPr>
      </w:pPr>
      <w:r>
        <w:rPr>
          <w:rFonts w:hint="eastAsia" w:ascii="宋体" w:hAnsi="宋体" w:eastAsia="宋体" w:cs="宋体"/>
          <w:color w:val="000000" w:themeColor="text1"/>
          <w:spacing w:val="-5"/>
          <w:kern w:val="0"/>
          <w:sz w:val="24"/>
          <w14:textFill>
            <w14:solidFill>
              <w14:schemeClr w14:val="tx1"/>
            </w14:solidFill>
          </w14:textFill>
        </w:rPr>
        <w:t>4.</w:t>
      </w:r>
      <w:r>
        <w:rPr>
          <w:rFonts w:hint="eastAsia" w:ascii="宋体" w:hAnsi="宋体" w:eastAsia="宋体" w:cs="宋体"/>
          <w:color w:val="000000" w:themeColor="text1"/>
          <w:spacing w:val="-2"/>
          <w:kern w:val="0"/>
          <w:sz w:val="24"/>
          <w14:textFill>
            <w14:solidFill>
              <w14:schemeClr w14:val="tx1"/>
            </w14:solidFill>
          </w14:textFill>
        </w:rPr>
        <w:t>论文撰写完成后，需评审通过后方可进行答辩。论文评审及答辩委员会成员中，应至少有一名具有高级职称的基础教育学校或中等职业技术学校的教师或教学研究人员。</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5.修满规定学分，并通过论文答辩者，经学位授予单位评定委员会审核，授予教育硕士专业学位，同时获得硕士研究生毕业证书。</w:t>
      </w:r>
    </w:p>
    <w:p>
      <w:pPr>
        <w:spacing w:line="480" w:lineRule="exact"/>
        <w:ind w:firstLine="480" w:firstLineChars="200"/>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八、其它</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非师范类专业考生入学后，应至少补修3门教师教育课程（如教育学，心理学和专业教学论），不计学分。跨专业考生入学后，至少补修2门本专业基础课，不计学分。</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附件：教育硕士现代教育技术专业学位研究生课程设置与教学计划表</w:t>
      </w:r>
    </w:p>
    <w:p>
      <w:pPr>
        <w:adjustRightInd w:val="0"/>
        <w:snapToGrid w:val="0"/>
        <w:spacing w:line="480" w:lineRule="exact"/>
        <w:ind w:firstLine="480" w:firstLineChars="200"/>
        <w:rPr>
          <w:rFonts w:ascii="宋体" w:hAnsi="宋体" w:eastAsia="宋体" w:cs="宋体"/>
          <w:color w:val="000000" w:themeColor="text1"/>
          <w:kern w:val="0"/>
          <w:sz w:val="24"/>
          <w14:textFill>
            <w14:solidFill>
              <w14:schemeClr w14:val="tx1"/>
            </w14:solidFill>
          </w14:textFill>
        </w:rPr>
      </w:pPr>
    </w:p>
    <w:p>
      <w:pPr>
        <w:adjustRightInd w:val="0"/>
        <w:snapToGrid w:val="0"/>
        <w:spacing w:line="480" w:lineRule="exact"/>
        <w:rPr>
          <w:rFonts w:ascii="宋体" w:hAnsi="宋体" w:eastAsia="宋体" w:cs="宋体"/>
          <w:color w:val="000000" w:themeColor="text1"/>
          <w:kern w:val="0"/>
          <w:sz w:val="24"/>
          <w14:textFill>
            <w14:solidFill>
              <w14:schemeClr w14:val="tx1"/>
            </w14:solidFill>
          </w14:textFill>
        </w:rPr>
        <w:sectPr>
          <w:headerReference r:id="rId7" w:type="default"/>
          <w:pgSz w:w="11906" w:h="16838"/>
          <w:pgMar w:top="1417" w:right="1474" w:bottom="1417" w:left="1418" w:header="1191" w:footer="1020" w:gutter="0"/>
          <w:pgNumType w:fmt="decimal"/>
          <w:cols w:space="0" w:num="1"/>
          <w:docGrid w:linePitch="312" w:charSpace="0"/>
        </w:sectPr>
      </w:pPr>
    </w:p>
    <w:p>
      <w:pPr>
        <w:adjustRightInd w:val="0"/>
        <w:snapToGrid w:val="0"/>
        <w:spacing w:line="4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w:t>
      </w:r>
    </w:p>
    <w:p>
      <w:pPr>
        <w:spacing w:after="72" w:afterLines="30" w:line="520" w:lineRule="exact"/>
        <w:jc w:val="center"/>
        <w:rPr>
          <w:rFonts w:ascii="黑体" w:hAnsi="黑体" w:eastAsia="黑体" w:cs="黑体"/>
          <w:color w:val="000000" w:themeColor="text1"/>
          <w:spacing w:val="-2"/>
          <w:sz w:val="32"/>
          <w:szCs w:val="32"/>
          <w14:textFill>
            <w14:solidFill>
              <w14:schemeClr w14:val="tx1"/>
            </w14:solidFill>
          </w14:textFill>
        </w:rPr>
      </w:pPr>
      <w:r>
        <w:rPr>
          <w:rFonts w:hint="eastAsia" w:ascii="黑体" w:hAnsi="黑体" w:eastAsia="黑体" w:cs="黑体"/>
          <w:color w:val="000000" w:themeColor="text1"/>
          <w:spacing w:val="-4"/>
          <w:sz w:val="32"/>
          <w:szCs w:val="32"/>
          <w14:textFill>
            <w14:solidFill>
              <w14:schemeClr w14:val="tx1"/>
            </w14:solidFill>
          </w14:textFill>
        </w:rPr>
        <w:t>教育硕士现代教育技术专业学位研究生课程设置与教学计划</w:t>
      </w:r>
      <w:r>
        <w:rPr>
          <w:rFonts w:hint="eastAsia" w:ascii="黑体" w:hAnsi="黑体" w:eastAsia="黑体" w:cs="黑体"/>
          <w:color w:val="000000" w:themeColor="text1"/>
          <w:spacing w:val="-2"/>
          <w:sz w:val="32"/>
          <w:szCs w:val="32"/>
          <w14:textFill>
            <w14:solidFill>
              <w14:schemeClr w14:val="tx1"/>
            </w14:solidFill>
          </w14:textFill>
        </w:rPr>
        <w:t>表</w:t>
      </w:r>
    </w:p>
    <w:tbl>
      <w:tblPr>
        <w:tblStyle w:val="7"/>
        <w:tblW w:w="9732" w:type="dxa"/>
        <w:jc w:val="center"/>
        <w:tblInd w:w="-18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51"/>
        <w:gridCol w:w="642"/>
        <w:gridCol w:w="1020"/>
        <w:gridCol w:w="2462"/>
        <w:gridCol w:w="671"/>
        <w:gridCol w:w="600"/>
        <w:gridCol w:w="625"/>
        <w:gridCol w:w="600"/>
        <w:gridCol w:w="1437"/>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2" w:hRule="atLeast"/>
          <w:jc w:val="center"/>
        </w:trPr>
        <w:tc>
          <w:tcPr>
            <w:tcW w:w="139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类别</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课程代码</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课程名称</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default" w:ascii="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default" w:ascii="宋体"/>
                <w:b/>
                <w:bCs/>
                <w:color w:val="000000" w:themeColor="text1"/>
                <w:kern w:val="0"/>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学时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eastAsia="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学时总数</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学分</w:t>
            </w:r>
          </w:p>
        </w:tc>
        <w:tc>
          <w:tcPr>
            <w:tcW w:w="14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教师</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2" w:hRule="exact"/>
          <w:jc w:val="center"/>
        </w:trPr>
        <w:tc>
          <w:tcPr>
            <w:tcW w:w="139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E0051001</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pacing w:val="-6"/>
                <w:kern w:val="0"/>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马克思主义学院</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E0050005</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马克思主义与社会科学方法论</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pacing w:val="-6"/>
                <w:kern w:val="0"/>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马克思主义学院</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E0101222</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第一外国语</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外语学院</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1</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马光仲</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2</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安富海</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3</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郭  炯</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E0042184</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心理学院</w:t>
            </w:r>
          </w:p>
        </w:tc>
        <w:tc>
          <w:tcPr>
            <w:tcW w:w="9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1</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信息技术课程与教材研究</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贺相春</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2</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6"/>
                <w:sz w:val="18"/>
                <w:szCs w:val="18"/>
                <w14:textFill>
                  <w14:solidFill>
                    <w14:schemeClr w14:val="tx1"/>
                  </w14:solidFill>
                </w14:textFill>
              </w:rPr>
              <w:t>信息技术课程教学设计与实施</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常咏梅</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3</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数字教学资源设计与开发</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  媛</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4</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创客教育</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李建珍</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9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5</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hAnsi="宋体"/>
                <w:bCs/>
                <w:color w:val="000000" w:themeColor="text1"/>
                <w:sz w:val="18"/>
                <w:szCs w:val="18"/>
                <w14:textFill>
                  <w14:solidFill>
                    <w14:schemeClr w14:val="tx1"/>
                  </w14:solidFill>
                </w14:textFill>
              </w:rPr>
            </w:pPr>
            <w:r>
              <w:rPr>
                <w:rFonts w:hint="eastAsia" w:hAnsi="宋体"/>
                <w:bCs/>
                <w:color w:val="000000" w:themeColor="text1"/>
                <w:sz w:val="18"/>
                <w:szCs w:val="18"/>
                <w14:textFill>
                  <w14:solidFill>
                    <w14:schemeClr w14:val="tx1"/>
                  </w14:solidFill>
                </w14:textFill>
              </w:rPr>
              <w:t>虚拟现实技术</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魏小东</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6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知识</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1</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现代教育技术基础</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俞树煜</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2</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信息技术与基础教育改革</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华</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技能</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3</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信息化教学环境应用</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蕊</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0"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4</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MOOC课程</w:t>
            </w:r>
            <w:r>
              <w:rPr>
                <w:rFonts w:hint="eastAsia" w:ascii="宋体" w:hAnsi="宋体"/>
                <w:color w:val="000000" w:themeColor="text1"/>
                <w:sz w:val="18"/>
                <w:szCs w:val="18"/>
                <w14:textFill>
                  <w14:solidFill>
                    <w14:schemeClr w14:val="tx1"/>
                  </w14:solidFill>
                </w14:textFill>
              </w:rPr>
              <w:t>（</w:t>
            </w:r>
            <w:r>
              <w:rPr>
                <w:rFonts w:hint="default" w:ascii="宋体" w:hAnsi="宋体"/>
                <w:color w:val="000000" w:themeColor="text1"/>
                <w:sz w:val="18"/>
                <w:szCs w:val="18"/>
                <w14:textFill>
                  <w14:solidFill>
                    <w14:schemeClr w14:val="tx1"/>
                  </w14:solidFill>
                </w14:textFill>
              </w:rPr>
              <w:t>教学技能类自选</w:t>
            </w:r>
            <w:r>
              <w:rPr>
                <w:rFonts w:hint="eastAsia" w:ascii="宋体" w:hAnsi="宋体"/>
                <w:color w:val="000000" w:themeColor="text1"/>
                <w:sz w:val="18"/>
                <w:szCs w:val="18"/>
                <w14:textFill>
                  <w14:solidFill>
                    <w14:schemeClr w14:val="tx1"/>
                  </w14:solidFill>
                </w14:textFill>
              </w:rPr>
              <w:t>）</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任一学期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国家爱课程网</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获合</w:t>
            </w:r>
          </w:p>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格证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管理</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5</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教育信息化政策解读</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华</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6</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社会性软件与学习</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张雪莉</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实训</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1</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微格教学</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张筱兰</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2</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课例分析</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实训</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3</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教育见习</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4</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教育实习</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75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17</w:t>
            </w:r>
            <w:r>
              <w:rPr>
                <w:rFonts w:hint="eastAsia" w:ascii="宋体" w:hAnsi="宋体" w:cs="宋体"/>
                <w:color w:val="000000" w:themeColor="text1"/>
                <w:kern w:val="0"/>
                <w:sz w:val="18"/>
                <w:szCs w:val="18"/>
                <w14:textFill>
                  <w14:solidFill>
                    <w14:schemeClr w14:val="tx1"/>
                  </w14:solidFill>
                </w14:textFill>
              </w:rPr>
              <w:t>5</w:t>
            </w:r>
          </w:p>
        </w:tc>
        <w:tc>
          <w:tcPr>
            <w:tcW w:w="246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教育研习</w:t>
            </w:r>
          </w:p>
        </w:tc>
        <w:tc>
          <w:tcPr>
            <w:tcW w:w="6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3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39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总学分</w:t>
            </w:r>
          </w:p>
        </w:tc>
        <w:tc>
          <w:tcPr>
            <w:tcW w:w="8339" w:type="dxa"/>
            <w:gridSpan w:val="8"/>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pStyle w:val="2"/>
        <w:spacing w:before="120" w:after="120"/>
        <w:rPr>
          <w:color w:val="000000" w:themeColor="text1"/>
          <w14:textFill>
            <w14:solidFill>
              <w14:schemeClr w14:val="tx1"/>
            </w14:solidFill>
          </w14:textFill>
        </w:rPr>
        <w:sectPr>
          <w:pgSz w:w="11906" w:h="16838"/>
          <w:pgMar w:top="1417" w:right="1474" w:bottom="1417" w:left="1418" w:header="1191" w:footer="1020" w:gutter="0"/>
          <w:pgNumType w:fmt="decimal"/>
          <w:cols w:space="0" w:num="1"/>
          <w:docGrid w:linePitch="312" w:charSpace="0"/>
        </w:sectPr>
      </w:pPr>
      <w:bookmarkStart w:id="34" w:name="_Toc23542"/>
      <w:bookmarkStart w:id="35" w:name="_Toc8665"/>
      <w:bookmarkStart w:id="36" w:name="_Toc5667"/>
      <w:bookmarkStart w:id="37" w:name="_Toc16788"/>
      <w:bookmarkStart w:id="38" w:name="_Toc516559928"/>
      <w:bookmarkStart w:id="39" w:name="_Toc8336"/>
      <w:bookmarkStart w:id="40" w:name="_Toc28676"/>
    </w:p>
    <w:p>
      <w:pPr>
        <w:pStyle w:val="2"/>
        <w:spacing w:before="120"/>
        <w:rPr>
          <w:color w:val="000000" w:themeColor="text1"/>
          <w14:textFill>
            <w14:solidFill>
              <w14:schemeClr w14:val="tx1"/>
            </w14:solidFill>
          </w14:textFill>
        </w:rPr>
      </w:pPr>
      <w:bookmarkStart w:id="41" w:name="_Toc527397092"/>
      <w:bookmarkStart w:id="42" w:name="_Toc5784"/>
      <w:r>
        <w:rPr>
          <w:rFonts w:hint="eastAsia"/>
          <w:color w:val="000000" w:themeColor="text1"/>
          <w14:textFill>
            <w14:solidFill>
              <w14:schemeClr w14:val="tx1"/>
            </w14:solidFill>
          </w14:textFill>
        </w:rPr>
        <w:t>教育硕士职业技术教育专业学位研究生培养方案</w:t>
      </w:r>
      <w:bookmarkEnd w:id="34"/>
      <w:bookmarkEnd w:id="35"/>
      <w:bookmarkEnd w:id="36"/>
      <w:bookmarkEnd w:id="37"/>
      <w:bookmarkEnd w:id="38"/>
      <w:bookmarkEnd w:id="39"/>
      <w:bookmarkEnd w:id="40"/>
      <w:bookmarkEnd w:id="41"/>
      <w:bookmarkEnd w:id="42"/>
    </w:p>
    <w:p>
      <w:pPr>
        <w:tabs>
          <w:tab w:val="left" w:pos="9360"/>
        </w:tabs>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w:t>
      </w:r>
      <w:r>
        <w:rPr>
          <w:rFonts w:ascii="楷体_GB2312" w:hAnsi="宋体" w:eastAsia="楷体_GB2312"/>
          <w:color w:val="000000" w:themeColor="text1"/>
          <w:sz w:val="24"/>
          <w14:textFill>
            <w14:solidFill>
              <w14:schemeClr w14:val="tx1"/>
            </w14:solidFill>
          </w14:textFill>
        </w:rPr>
        <w:t>045120</w:t>
      </w:r>
      <w:r>
        <w:rPr>
          <w:rFonts w:hint="eastAsia" w:ascii="楷体_GB2312" w:hAnsi="宋体" w:eastAsia="楷体_GB2312"/>
          <w:color w:val="000000" w:themeColor="text1"/>
          <w:sz w:val="24"/>
          <w14:textFill>
            <w14:solidFill>
              <w14:schemeClr w14:val="tx1"/>
            </w14:solidFill>
          </w14:textFill>
        </w:rPr>
        <w:t>）</w:t>
      </w:r>
    </w:p>
    <w:p>
      <w:pPr>
        <w:spacing w:line="480" w:lineRule="exact"/>
        <w:ind w:left="482"/>
        <w:rPr>
          <w:rFonts w:ascii="黑体" w:hAnsi="黑体" w:eastAsia="黑体" w:cs="宋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培养熟悉国内外数字媒体相关行业的发展趋势，具有扎实的数字媒体技术专业的基础理论、宽厚的专业技术基础，较强的实践导向课程开发和教学能力及一定研究能力的应用型中等职业学校（包括中等专业学校、职业高中、成人中专、技工学校）专业教师</w:t>
      </w:r>
      <w:r>
        <w:rPr>
          <w:rFonts w:hint="eastAsia" w:ascii="宋体" w:hAnsi="宋体"/>
          <w:color w:val="000000" w:themeColor="text1"/>
          <w:sz w:val="24"/>
          <w14:textFill>
            <w14:solidFill>
              <w14:schemeClr w14:val="tx1"/>
            </w14:solidFill>
          </w14:textFill>
        </w:rPr>
        <w:t>，数字教育</w:t>
      </w:r>
      <w:r>
        <w:rPr>
          <w:rFonts w:ascii="宋体" w:hAnsi="宋体"/>
          <w:color w:val="000000" w:themeColor="text1"/>
          <w:sz w:val="24"/>
          <w14:textFill>
            <w14:solidFill>
              <w14:schemeClr w14:val="tx1"/>
            </w14:solidFill>
          </w14:textFill>
        </w:rPr>
        <w:t>资源开发</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教学多媒体信息系统的运行、管理与维护等人员</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具体要求为：</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拥护中国共产党领导，热爱教育事业，具有良好的道德品质，遵纪守法，积极进取，勇于创新。</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掌握</w:t>
      </w:r>
      <w:r>
        <w:rPr>
          <w:rFonts w:hint="eastAsia" w:ascii="宋体" w:hAnsi="宋体"/>
          <w:color w:val="000000" w:themeColor="text1"/>
          <w:sz w:val="24"/>
          <w14:textFill>
            <w14:solidFill>
              <w14:schemeClr w14:val="tx1"/>
            </w14:solidFill>
          </w14:textFill>
        </w:rPr>
        <w:t>数字媒体技术专业的基本理论、基本知识与基本技能，了解相关企业工作流程、岗位职责、行业规范与标准等，关注数字媒体行业的发展方向。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3.熟悉</w:t>
      </w:r>
      <w:r>
        <w:rPr>
          <w:rFonts w:ascii="宋体" w:hAnsi="宋体"/>
          <w:color w:val="000000" w:themeColor="text1"/>
          <w:sz w:val="24"/>
          <w14:textFill>
            <w14:solidFill>
              <w14:schemeClr w14:val="tx1"/>
            </w14:solidFill>
          </w14:textFill>
        </w:rPr>
        <w:t>职业技术教育课程改革新理念</w:t>
      </w:r>
      <w:r>
        <w:rPr>
          <w:rFonts w:hint="eastAsia" w:ascii="宋体" w:hAnsi="宋体"/>
          <w:color w:val="000000" w:themeColor="text1"/>
          <w:sz w:val="24"/>
          <w14:textFill>
            <w14:solidFill>
              <w14:schemeClr w14:val="tx1"/>
            </w14:solidFill>
          </w14:textFill>
        </w:rPr>
        <w:t>，掌握</w:t>
      </w:r>
      <w:r>
        <w:rPr>
          <w:rFonts w:ascii="宋体" w:hAnsi="宋体"/>
          <w:color w:val="000000" w:themeColor="text1"/>
          <w:sz w:val="24"/>
          <w14:textFill>
            <w14:solidFill>
              <w14:schemeClr w14:val="tx1"/>
            </w14:solidFill>
          </w14:textFill>
        </w:rPr>
        <w:t>实践导向的职业技术教育课程</w:t>
      </w:r>
      <w:r>
        <w:rPr>
          <w:rFonts w:hint="eastAsia" w:ascii="宋体" w:hAnsi="宋体"/>
          <w:color w:val="000000" w:themeColor="text1"/>
          <w:sz w:val="24"/>
          <w14:textFill>
            <w14:solidFill>
              <w14:schemeClr w14:val="tx1"/>
            </w14:solidFill>
          </w14:textFill>
        </w:rPr>
        <w:t>开发</w:t>
      </w:r>
      <w:r>
        <w:rPr>
          <w:rFonts w:ascii="宋体" w:hAnsi="宋体"/>
          <w:color w:val="000000" w:themeColor="text1"/>
          <w:sz w:val="24"/>
          <w14:textFill>
            <w14:solidFill>
              <w14:schemeClr w14:val="tx1"/>
            </w14:solidFill>
          </w14:textFill>
        </w:rPr>
        <w:t>的基本流程和方法，</w:t>
      </w:r>
      <w:r>
        <w:rPr>
          <w:rFonts w:hint="eastAsia" w:ascii="宋体" w:hAnsi="宋体"/>
          <w:color w:val="000000" w:themeColor="text1"/>
          <w:sz w:val="24"/>
          <w14:textFill>
            <w14:solidFill>
              <w14:schemeClr w14:val="tx1"/>
            </w14:solidFill>
          </w14:textFill>
        </w:rPr>
        <w:t>具有根据社会需求、行业变化而设计开发与之相适应的课程的能力，其中包括行业调研、课程设计、教材编写、课程评估等基本能力。</w:t>
      </w:r>
    </w:p>
    <w:p>
      <w:pPr>
        <w:spacing w:line="480" w:lineRule="exact"/>
        <w:ind w:firstLine="480" w:firstLineChars="200"/>
        <w:rPr>
          <w:rFonts w:ascii="宋体" w:hAnsi="宋体"/>
          <w:color w:val="000000" w:themeColor="text1"/>
          <w:spacing w:val="-6"/>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4.具有根据行业所需的综合职业能力，设计教学活动，开发教学资源，应用信息化教学环境、</w:t>
      </w:r>
      <w:r>
        <w:rPr>
          <w:rFonts w:hint="eastAsia" w:ascii="宋体" w:hAnsi="宋体"/>
          <w:color w:val="000000" w:themeColor="text1"/>
          <w:spacing w:val="-6"/>
          <w:sz w:val="24"/>
          <w14:textFill>
            <w14:solidFill>
              <w14:schemeClr w14:val="tx1"/>
            </w14:solidFill>
          </w14:textFill>
        </w:rPr>
        <w:t>鉴定学生学习成果和职业能力等一系列设计、实施和管理教学过程的能力。</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5.能够根据学生和社会的实际情况指导学生正确地规划职业生涯，并能激励学生大胆地、有计划地、科学地去创业和尝试创业。</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6.具备</w:t>
      </w:r>
      <w:r>
        <w:rPr>
          <w:rFonts w:ascii="宋体" w:hAnsi="宋体"/>
          <w:color w:val="000000" w:themeColor="text1"/>
          <w:sz w:val="24"/>
          <w14:textFill>
            <w14:solidFill>
              <w14:schemeClr w14:val="tx1"/>
            </w14:solidFill>
          </w14:textFill>
        </w:rPr>
        <w:t>借助网络</w:t>
      </w:r>
      <w:r>
        <w:rPr>
          <w:rFonts w:hint="eastAsia" w:ascii="宋体" w:hAnsi="宋体"/>
          <w:color w:val="000000" w:themeColor="text1"/>
          <w:sz w:val="24"/>
          <w14:textFill>
            <w14:solidFill>
              <w14:schemeClr w14:val="tx1"/>
            </w14:solidFill>
          </w14:textFill>
        </w:rPr>
        <w:t>资源、学习社区等</w:t>
      </w:r>
      <w:r>
        <w:rPr>
          <w:rFonts w:ascii="宋体" w:hAnsi="宋体"/>
          <w:color w:val="000000" w:themeColor="text1"/>
          <w:sz w:val="24"/>
          <w14:textFill>
            <w14:solidFill>
              <w14:schemeClr w14:val="tx1"/>
            </w14:solidFill>
          </w14:textFill>
        </w:rPr>
        <w:t>开展自主学习</w:t>
      </w:r>
      <w:r>
        <w:rPr>
          <w:rFonts w:hint="eastAsia" w:ascii="宋体" w:hAnsi="宋体"/>
          <w:color w:val="000000" w:themeColor="text1"/>
          <w:sz w:val="24"/>
          <w14:textFill>
            <w14:solidFill>
              <w14:schemeClr w14:val="tx1"/>
            </w14:solidFill>
          </w14:textFill>
        </w:rPr>
        <w:t>，促进自身专业发展的能力；能够</w:t>
      </w:r>
      <w:r>
        <w:rPr>
          <w:rFonts w:ascii="宋体" w:hAnsi="宋体"/>
          <w:color w:val="000000" w:themeColor="text1"/>
          <w:sz w:val="24"/>
          <w14:textFill>
            <w14:solidFill>
              <w14:schemeClr w14:val="tx1"/>
            </w14:solidFill>
          </w14:textFill>
        </w:rPr>
        <w:t>较为熟练阅读本专业的外文文献。</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w:t>
      </w:r>
      <w:r>
        <w:rPr>
          <w:rFonts w:hint="eastAsia" w:ascii="宋体" w:hAnsi="宋体" w:cs="宋体"/>
          <w:color w:val="000000" w:themeColor="text1"/>
          <w:kern w:val="0"/>
          <w:sz w:val="24"/>
          <w:lang w:bidi="ar"/>
          <w14:textFill>
            <w14:solidFill>
              <w14:schemeClr w14:val="tx1"/>
            </w14:solidFill>
          </w14:textFill>
        </w:rPr>
        <w:t>国民教育序列大学本科学历（或本科同等学力），且前置学历所学专业与本专业类一致或密切相关人员。</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三、学习年限</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基本学制</w:t>
      </w:r>
      <w:r>
        <w:rPr>
          <w:rFonts w:ascii="宋体" w:hAnsi="宋体"/>
          <w:color w:val="000000" w:themeColor="text1"/>
          <w:sz w:val="24"/>
          <w14:textFill>
            <w14:solidFill>
              <w14:schemeClr w14:val="tx1"/>
            </w14:solidFill>
          </w14:textFill>
        </w:rPr>
        <w:t>3年</w:t>
      </w:r>
      <w:r>
        <w:rPr>
          <w:rFonts w:hint="eastAsia" w:ascii="宋体" w:hAnsi="宋体"/>
          <w:color w:val="000000" w:themeColor="text1"/>
          <w:sz w:val="24"/>
          <w14:textFill>
            <w14:solidFill>
              <w14:schemeClr w14:val="tx1"/>
            </w14:solidFill>
          </w14:textFill>
        </w:rPr>
        <w:t>，最长学习年限5年。</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四、课程设置</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课程设置贯彻理论与实践相结合的原则，分为学位基础课程、专业必修课程、专业选修课程和实践教学四个模块，在学习期间至少须修满37学分。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（一）学位基础课（13学分）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1.外语（2学分）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2.中国特色科学社会主义理论与实践研究（2学分）</w:t>
      </w:r>
    </w:p>
    <w:p>
      <w:pPr>
        <w:spacing w:line="480" w:lineRule="exact"/>
        <w:ind w:firstLine="480"/>
        <w:rPr>
          <w:rFonts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3.马克思主义与社会科学方法论（1学分）</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4.教育学原理（2学分）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5.课程与教学论（2学分）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6.教育研究方法（2学分）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7.心理发展与教育（2学分）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（二）专业必修课（10学分）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1.数字媒体技术专业课程与教材研究（2学分）</w:t>
      </w:r>
    </w:p>
    <w:p>
      <w:pPr>
        <w:spacing w:line="480" w:lineRule="exact"/>
        <w:ind w:firstLine="48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2.数字媒体技术专业教学设计与实施（2学分）</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（1）数字媒体技术专业素养（2学分）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（2）职业技术教育测量与评价（2学分）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（3）数字媒体技术发展前沿专题（2学分）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（三）专业选修课（6学分）</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1.专业</w:t>
      </w:r>
      <w:r>
        <w:rPr>
          <w:rFonts w:ascii="宋体" w:hAnsi="宋体"/>
          <w:color w:val="000000" w:themeColor="text1"/>
          <w:kern w:val="0"/>
          <w:sz w:val="24"/>
          <w14:textFill>
            <w14:solidFill>
              <w14:schemeClr w14:val="tx1"/>
            </w14:solidFill>
          </w14:textFill>
        </w:rPr>
        <w:t>理论知识类课程</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（1）网络课程的设计与开发（2学分）</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（2）课件的设计与开发（2学分）</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2.教学</w:t>
      </w:r>
      <w:r>
        <w:rPr>
          <w:rFonts w:ascii="宋体" w:hAnsi="宋体"/>
          <w:color w:val="000000" w:themeColor="text1"/>
          <w:kern w:val="0"/>
          <w:sz w:val="24"/>
          <w14:textFill>
            <w14:solidFill>
              <w14:schemeClr w14:val="tx1"/>
            </w14:solidFill>
          </w14:textFill>
        </w:rPr>
        <w:t>专业技能类课程</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（1）虚拟现实技术应用</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2</w:t>
      </w:r>
      <w:r>
        <w:rPr>
          <w:rFonts w:ascii="宋体" w:hAnsi="宋体"/>
          <w:color w:val="000000" w:themeColor="text1"/>
          <w:kern w:val="0"/>
          <w:sz w:val="24"/>
          <w14:textFill>
            <w14:solidFill>
              <w14:schemeClr w14:val="tx1"/>
            </w14:solidFill>
          </w14:textFill>
        </w:rPr>
        <w:t>学分）</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（2）用户界面设计（2学分）</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3.教育教学</w:t>
      </w:r>
      <w:r>
        <w:rPr>
          <w:rFonts w:ascii="宋体" w:hAnsi="宋体"/>
          <w:color w:val="000000" w:themeColor="text1"/>
          <w:kern w:val="0"/>
          <w:sz w:val="24"/>
          <w14:textFill>
            <w14:solidFill>
              <w14:schemeClr w14:val="tx1"/>
            </w14:solidFill>
          </w14:textFill>
        </w:rPr>
        <w:t>管理类课程</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（1）职业教育政策解读</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2</w:t>
      </w:r>
      <w:r>
        <w:rPr>
          <w:rFonts w:ascii="宋体" w:hAnsi="宋体"/>
          <w:color w:val="000000" w:themeColor="text1"/>
          <w:kern w:val="0"/>
          <w:sz w:val="24"/>
          <w14:textFill>
            <w14:solidFill>
              <w14:schemeClr w14:val="tx1"/>
            </w14:solidFill>
          </w14:textFill>
        </w:rPr>
        <w:t>学分）</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（2）数媒专业人才需求预测</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2</w:t>
      </w:r>
      <w:r>
        <w:rPr>
          <w:rFonts w:ascii="宋体" w:hAnsi="宋体"/>
          <w:color w:val="000000" w:themeColor="text1"/>
          <w:kern w:val="0"/>
          <w:sz w:val="24"/>
          <w14:textFill>
            <w14:solidFill>
              <w14:schemeClr w14:val="tx1"/>
            </w14:solidFill>
          </w14:textFill>
        </w:rPr>
        <w:t>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（四）实践教学（8学分）</w:t>
      </w:r>
    </w:p>
    <w:p>
      <w:pPr>
        <w:spacing w:line="480" w:lineRule="exact"/>
        <w:ind w:firstLine="48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校内实训（</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学分）：包括微格教学、教学技能训练、课例分析等。</w:t>
      </w:r>
    </w:p>
    <w:p>
      <w:pPr>
        <w:spacing w:line="480" w:lineRule="exact"/>
        <w:ind w:firstLine="48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校外实践（</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学分）：包括教育见习（</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学分）、教育实习（</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学分）、教育研习（完成数字媒体技术应用企业专题调研）（1学分）等。</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五、培养方式</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院建立由校内指导教师和校外指导教师相结合的“双师型”导师组，校外指导教师为具有副高级及以上专业技术职务的中等职业学校教师和具有高级专业技术职务的行业企业人员。在中等职业学校和行业企业建立了稳定的实践基地，为学生提供相应的校内和校外实训实习基地。课程教学贯彻产教结合、理论与实践相结合、工学结合的原则，以提高职业技术教育教学能力和教研能力为重点，注重培养将新技术新设备等生产资源和企业文化转化为课程与教学资源的能力。</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教学采用课堂讲授与案例分析、项目教学、行动学习、模拟教学和实践考察等相结合的多元化学习方式，注重探索应用型人才培养模式。院校与中等职业学校和相关行业企业合作成立了实践教学指导组，精心组织和实施教育实践和企业实践活动。</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对学生学习过程进行定期考查。充分利用网络平台提供丰富和能便捷利用的学习资源，并记录并监控学生学习过程。</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六、实践教学的实施</w:t>
      </w:r>
    </w:p>
    <w:p>
      <w:pPr>
        <w:spacing w:line="480" w:lineRule="exact"/>
        <w:ind w:firstLine="480"/>
        <w:rPr>
          <w:rFonts w:asci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践教学有明确的目标和具体内容，有完善的管理与评价制度，有序组织实施。实践教学原则上不少于年，其中校外实践不少于1学期。校内实训、教育见习在第一年内完成；教育实习、教育研习应在第三学年完成。</w:t>
      </w:r>
      <w:r>
        <w:rPr>
          <w:rFonts w:ascii="宋体" w:cs="宋体"/>
          <w:color w:val="000000" w:themeColor="text1"/>
          <w:sz w:val="24"/>
          <w14:textFill>
            <w14:solidFill>
              <w14:schemeClr w14:val="tx1"/>
            </w14:solidFill>
          </w14:textFill>
        </w:rPr>
        <w:t>实践教学应在中等职业技术学校和企业分别进行</w:t>
      </w:r>
      <w:r>
        <w:rPr>
          <w:rFonts w:hint="eastAsia" w:ascii="宋体" w:cs="宋体"/>
          <w:color w:val="000000" w:themeColor="text1"/>
          <w:sz w:val="24"/>
          <w14:textFill>
            <w14:solidFill>
              <w14:schemeClr w14:val="tx1"/>
            </w14:solidFill>
          </w14:textFill>
        </w:rPr>
        <w:t>，</w:t>
      </w:r>
      <w:r>
        <w:rPr>
          <w:rFonts w:ascii="宋体" w:cs="宋体"/>
          <w:color w:val="000000" w:themeColor="text1"/>
          <w:sz w:val="24"/>
          <w14:textFill>
            <w14:solidFill>
              <w14:schemeClr w14:val="tx1"/>
            </w14:solidFill>
          </w14:textFill>
        </w:rPr>
        <w:t>学校实习时间原则上不少于一学期</w:t>
      </w:r>
      <w:r>
        <w:rPr>
          <w:rFonts w:hint="eastAsia" w:ascii="宋体" w:cs="宋体"/>
          <w:color w:val="000000" w:themeColor="text1"/>
          <w:sz w:val="24"/>
          <w14:textFill>
            <w14:solidFill>
              <w14:schemeClr w14:val="tx1"/>
            </w14:solidFill>
          </w14:textFill>
        </w:rPr>
        <w:t>，</w:t>
      </w:r>
      <w:r>
        <w:rPr>
          <w:rFonts w:ascii="宋体" w:cs="宋体"/>
          <w:color w:val="000000" w:themeColor="text1"/>
          <w:sz w:val="24"/>
          <w14:textFill>
            <w14:solidFill>
              <w14:schemeClr w14:val="tx1"/>
            </w14:solidFill>
          </w14:textFill>
        </w:rPr>
        <w:t>企业实习时间不少于三个月</w:t>
      </w:r>
      <w:r>
        <w:rPr>
          <w:rFonts w:hint="eastAsia" w:asci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有充足的实践实训设施和稳定的校外实践基地，切实保障实践教学活动的有效开展。</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七、学位论文及学位授予</w:t>
      </w: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学位论文选题应与现代教育技术领域的培养目标相一致，来源于职业技术学校的教育、教学和管理的实际问题。</w:t>
      </w: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2.学位论文应符合研究规范并凸显应与价值，论文的形式可以多样化，如专题研究论文、调查研究报告和研究研究报告等。论文字数不少于2.5万。</w:t>
      </w:r>
    </w:p>
    <w:p>
      <w:pPr>
        <w:adjustRightInd w:val="0"/>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olor w:val="000000" w:themeColor="text1"/>
          <w:sz w:val="24"/>
          <w14:textFill>
            <w14:solidFill>
              <w14:schemeClr w14:val="tx1"/>
            </w14:solidFill>
          </w14:textFill>
        </w:rPr>
        <w:t>论文写作</w:t>
      </w:r>
      <w:r>
        <w:rPr>
          <w:rFonts w:hint="eastAsia" w:ascii="宋体" w:hAnsi="宋体"/>
          <w:color w:val="000000" w:themeColor="text1"/>
          <w:sz w:val="24"/>
          <w14:textFill>
            <w14:solidFill>
              <w14:schemeClr w14:val="tx1"/>
            </w14:solidFill>
          </w14:textFill>
        </w:rPr>
        <w:t>及打印</w:t>
      </w:r>
      <w:r>
        <w:rPr>
          <w:rFonts w:ascii="宋体" w:hAnsi="宋体"/>
          <w:color w:val="000000" w:themeColor="text1"/>
          <w:sz w:val="24"/>
          <w14:textFill>
            <w14:solidFill>
              <w14:schemeClr w14:val="tx1"/>
            </w14:solidFill>
          </w14:textFill>
        </w:rPr>
        <w:t>格式</w:t>
      </w:r>
      <w:r>
        <w:rPr>
          <w:rFonts w:hint="eastAsia" w:ascii="宋体" w:hAnsi="宋体"/>
          <w:color w:val="000000" w:themeColor="text1"/>
          <w:sz w:val="24"/>
          <w14:textFill>
            <w14:solidFill>
              <w14:schemeClr w14:val="tx1"/>
            </w14:solidFill>
          </w14:textFill>
        </w:rPr>
        <w:t>等</w:t>
      </w:r>
      <w:r>
        <w:rPr>
          <w:rFonts w:ascii="宋体" w:hAnsi="宋体"/>
          <w:color w:val="000000" w:themeColor="text1"/>
          <w:sz w:val="24"/>
          <w14:textFill>
            <w14:solidFill>
              <w14:schemeClr w14:val="tx1"/>
            </w14:solidFill>
          </w14:textFill>
        </w:rPr>
        <w:t>按照</w:t>
      </w:r>
      <w:r>
        <w:rPr>
          <w:rFonts w:hint="eastAsia" w:ascii="宋体" w:hAnsi="宋体" w:cs="宋体"/>
          <w:color w:val="000000" w:themeColor="text1"/>
          <w:kern w:val="0"/>
          <w:sz w:val="24"/>
          <w14:textFill>
            <w14:solidFill>
              <w14:schemeClr w14:val="tx1"/>
            </w14:solidFill>
          </w14:textFill>
        </w:rPr>
        <w:t>《西北师范大学博士/硕士学位论文打印要求》</w:t>
      </w:r>
      <w:r>
        <w:rPr>
          <w:rFonts w:hint="eastAsia" w:ascii="宋体" w:hAnsi="宋体"/>
          <w:color w:val="000000" w:themeColor="text1"/>
          <w:sz w:val="24"/>
          <w14:textFill>
            <w14:solidFill>
              <w14:schemeClr w14:val="tx1"/>
            </w14:solidFill>
          </w14:textFill>
        </w:rPr>
        <w:t>等</w:t>
      </w:r>
      <w:r>
        <w:rPr>
          <w:rFonts w:ascii="宋体" w:hAnsi="宋体"/>
          <w:color w:val="000000" w:themeColor="text1"/>
          <w:sz w:val="24"/>
          <w14:textFill>
            <w14:solidFill>
              <w14:schemeClr w14:val="tx1"/>
            </w14:solidFill>
          </w14:textFill>
        </w:rPr>
        <w:t>有关规定执行</w:t>
      </w:r>
      <w:r>
        <w:rPr>
          <w:rFonts w:hint="eastAsia" w:ascii="宋体" w:hAnsi="宋体"/>
          <w:color w:val="000000" w:themeColor="text1"/>
          <w:sz w:val="24"/>
          <w14:textFill>
            <w14:solidFill>
              <w14:schemeClr w14:val="tx1"/>
            </w14:solidFill>
          </w14:textFill>
        </w:rPr>
        <w:t>。</w:t>
      </w: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4.论文撰写完成后，需</w:t>
      </w:r>
      <w:r>
        <w:rPr>
          <w:rFonts w:ascii="宋体" w:hAnsi="宋体"/>
          <w:color w:val="000000" w:themeColor="text1"/>
          <w:sz w:val="24"/>
          <w14:textFill>
            <w14:solidFill>
              <w14:schemeClr w14:val="tx1"/>
            </w14:solidFill>
          </w14:textFill>
        </w:rPr>
        <w:t>评</w:t>
      </w:r>
      <w:r>
        <w:rPr>
          <w:rFonts w:hint="eastAsia" w:ascii="宋体" w:hAnsi="宋体"/>
          <w:color w:val="000000" w:themeColor="text1"/>
          <w:sz w:val="24"/>
          <w14:textFill>
            <w14:solidFill>
              <w14:schemeClr w14:val="tx1"/>
            </w14:solidFill>
          </w14:textFill>
        </w:rPr>
        <w:t>审通过后方可进行答辩。论文</w:t>
      </w:r>
      <w:r>
        <w:rPr>
          <w:rFonts w:ascii="宋体" w:hAnsi="宋体"/>
          <w:color w:val="000000" w:themeColor="text1"/>
          <w:sz w:val="24"/>
          <w14:textFill>
            <w14:solidFill>
              <w14:schemeClr w14:val="tx1"/>
            </w14:solidFill>
          </w14:textFill>
        </w:rPr>
        <w:t>评</w:t>
      </w:r>
      <w:r>
        <w:rPr>
          <w:rFonts w:hint="eastAsia" w:ascii="宋体" w:hAnsi="宋体"/>
          <w:color w:val="000000" w:themeColor="text1"/>
          <w:sz w:val="24"/>
          <w14:textFill>
            <w14:solidFill>
              <w14:schemeClr w14:val="tx1"/>
            </w14:solidFill>
          </w14:textFill>
        </w:rPr>
        <w:t>审及答辩委员会成员中，</w:t>
      </w:r>
    </w:p>
    <w:p>
      <w:pPr>
        <w:adjustRightInd w:val="0"/>
        <w:snapToGrid w:val="0"/>
        <w:spacing w:line="48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应至少有一名具有高级职称的职业技术学校的教师或教学研究人员。</w:t>
      </w: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5.修满规定学分，并通过论文答辩者，经学位授予单位评定委员会审核，授予教育硕士专业学位，同时获得硕士研究生毕业证书。</w:t>
      </w:r>
    </w:p>
    <w:p>
      <w:pPr>
        <w:spacing w:line="480" w:lineRule="exact"/>
        <w:ind w:left="48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八、其它</w:t>
      </w: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非师范类专业考生入学后，应至少补修3门教师教育课程（如教育学，心理学和专业教学论），不计学分。跨专业考生入学后，至少补修2门本专业基础课，不计学分。</w:t>
      </w:r>
    </w:p>
    <w:p>
      <w:pPr>
        <w:adjustRightInd w:val="0"/>
        <w:snapToGrid w:val="0"/>
        <w:spacing w:line="480" w:lineRule="exact"/>
        <w:rPr>
          <w:rFonts w:ascii="宋体" w:hAnsi="宋体" w:cs="宋体"/>
          <w:color w:val="000000" w:themeColor="text1"/>
          <w:kern w:val="0"/>
          <w:sz w:val="24"/>
          <w14:textFill>
            <w14:solidFill>
              <w14:schemeClr w14:val="tx1"/>
            </w14:solidFill>
          </w14:textFill>
        </w:rPr>
      </w:pPr>
    </w:p>
    <w:p>
      <w:pPr>
        <w:adjustRightInd w:val="0"/>
        <w:snapToGrid w:val="0"/>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附件：教育硕士职业技术教育专业学位研究生课程设置与教学计划表</w:t>
      </w:r>
    </w:p>
    <w:p>
      <w:pPr>
        <w:adjustRightInd w:val="0"/>
        <w:snapToGrid w:val="0"/>
        <w:spacing w:line="48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spacing w:line="360" w:lineRule="exact"/>
        <w:rPr>
          <w:rFonts w:ascii="宋体" w:hAnsi="宋体" w:eastAsia="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br w:type="page"/>
      </w:r>
      <w:r>
        <w:rPr>
          <w:rFonts w:hint="eastAsia" w:ascii="宋体" w:hAnsi="宋体"/>
          <w:bCs/>
          <w:color w:val="000000" w:themeColor="text1"/>
          <w:sz w:val="24"/>
          <w14:textFill>
            <w14:solidFill>
              <w14:schemeClr w14:val="tx1"/>
            </w14:solidFill>
          </w14:textFill>
        </w:rPr>
        <w:t>附件：</w:t>
      </w:r>
    </w:p>
    <w:p>
      <w:pPr>
        <w:spacing w:after="72" w:afterLines="30" w:line="52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教育硕士职业技术教育专业学位研究生</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7"/>
        <w:tblW w:w="9766" w:type="dxa"/>
        <w:jc w:val="center"/>
        <w:tblInd w:w="-23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93"/>
        <w:gridCol w:w="629"/>
        <w:gridCol w:w="1027"/>
        <w:gridCol w:w="2314"/>
        <w:gridCol w:w="654"/>
        <w:gridCol w:w="602"/>
        <w:gridCol w:w="716"/>
        <w:gridCol w:w="627"/>
        <w:gridCol w:w="1858"/>
        <w:gridCol w:w="84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PrEx>
        <w:trPr>
          <w:trHeight w:val="616" w:hRule="atLeast"/>
          <w:jc w:val="center"/>
        </w:trPr>
        <w:tc>
          <w:tcPr>
            <w:tcW w:w="112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类别</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课程代码</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课程名称</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default" w:ascii="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default" w:ascii="宋体"/>
                <w:b/>
                <w:bCs/>
                <w:color w:val="000000" w:themeColor="text1"/>
                <w:kern w:val="0"/>
                <w:sz w:val="18"/>
                <w:szCs w:val="18"/>
                <w14:textFill>
                  <w14:solidFill>
                    <w14:schemeClr w14:val="tx1"/>
                  </w14:solidFill>
                </w14:textFill>
              </w:rPr>
              <w:t>学期</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b/>
                <w:bCs/>
                <w:color w:val="000000" w:themeColor="text1"/>
                <w:kern w:val="0"/>
                <w:sz w:val="18"/>
                <w:szCs w:val="18"/>
                <w14:textFill>
                  <w14:solidFill>
                    <w14:schemeClr w14:val="tx1"/>
                  </w14:solidFill>
                </w14:textFill>
              </w:rPr>
              <w:t>学时</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eastAsia="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时数</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学分</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1" w:hRule="exact"/>
          <w:jc w:val="center"/>
        </w:trPr>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eastAsia="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第一外国语</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外语学院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0"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E0051001</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马克思主义学院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0"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E0050005</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马克思主义学院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1"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E0212181</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马光仲</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4"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82</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kern w:val="0"/>
                <w:sz w:val="18"/>
                <w:szCs w:val="18"/>
                <w14:textFill>
                  <w14:solidFill>
                    <w14:schemeClr w14:val="tx1"/>
                  </w14:solidFill>
                </w14:textFill>
              </w:rPr>
              <w:t>安富海</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7"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E0212</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83</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郭  炯</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E0042</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84</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心理学院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0" w:hRule="exact"/>
          <w:jc w:val="center"/>
        </w:trPr>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81</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数字媒体技术专业课程开发与教材分析</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袁庆飞</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0"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82</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数字媒体技术专业</w:t>
            </w:r>
            <w:r>
              <w:rPr>
                <w:rFonts w:hint="default"/>
                <w:color w:val="000000" w:themeColor="text1"/>
                <w:sz w:val="18"/>
                <w:szCs w:val="18"/>
                <w14:textFill>
                  <w14:solidFill>
                    <w14:schemeClr w14:val="tx1"/>
                  </w14:solidFill>
                </w14:textFill>
              </w:rPr>
              <w:t>教学设计与案例分析</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四</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 xml:space="preserve">袁庆飞 </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83</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数字媒体技术专业素养</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四</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 xml:space="preserve">袁庆飞 </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84</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default"/>
                <w:color w:val="000000" w:themeColor="text1"/>
                <w:spacing w:val="-6"/>
                <w:sz w:val="18"/>
                <w:szCs w:val="18"/>
                <w14:textFill>
                  <w14:solidFill>
                    <w14:schemeClr w14:val="tx1"/>
                  </w14:solidFill>
                </w14:textFill>
              </w:rPr>
              <w:t>职业技术教育测量与评价</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蔡旻君</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jc w:val="center"/>
        </w:trPr>
        <w:tc>
          <w:tcPr>
            <w:tcW w:w="1122"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i/>
                <w:i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E0213</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86</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pacing w:val="-11"/>
                <w:sz w:val="18"/>
                <w:szCs w:val="18"/>
                <w14:textFill>
                  <w14:solidFill>
                    <w14:schemeClr w14:val="tx1"/>
                  </w14:solidFill>
                </w14:textFill>
              </w:rPr>
              <w:t>数字媒体技术发展前沿专题</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魏小东</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4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课</w:t>
            </w:r>
          </w:p>
        </w:tc>
        <w:tc>
          <w:tcPr>
            <w:tcW w:w="62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知识</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81</w:t>
            </w:r>
          </w:p>
        </w:tc>
        <w:tc>
          <w:tcPr>
            <w:tcW w:w="23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i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虚拟现实技术</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魏小东 </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7" w:hRule="exact"/>
          <w:jc w:val="center"/>
        </w:trPr>
        <w:tc>
          <w:tcPr>
            <w:tcW w:w="4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82</w:t>
            </w:r>
          </w:p>
        </w:tc>
        <w:tc>
          <w:tcPr>
            <w:tcW w:w="23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i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用户界面设计</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严富华</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2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专业</w:t>
            </w:r>
          </w:p>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技能</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83</w:t>
            </w:r>
          </w:p>
        </w:tc>
        <w:tc>
          <w:tcPr>
            <w:tcW w:w="23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i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网络</w:t>
            </w:r>
            <w:r>
              <w:rPr>
                <w:rFonts w:hint="default"/>
                <w:color w:val="000000" w:themeColor="text1"/>
                <w:sz w:val="18"/>
                <w:szCs w:val="18"/>
                <w14:textFill>
                  <w14:solidFill>
                    <w14:schemeClr w14:val="tx1"/>
                  </w14:solidFill>
                </w14:textFill>
              </w:rPr>
              <w:t>课程设计与开发</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周  媛</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84</w:t>
            </w:r>
          </w:p>
        </w:tc>
        <w:tc>
          <w:tcPr>
            <w:tcW w:w="23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iCs/>
                <w:color w:val="000000" w:themeColor="text1"/>
                <w:sz w:val="18"/>
                <w:szCs w:val="18"/>
                <w14:textFill>
                  <w14:solidFill>
                    <w14:schemeClr w14:val="tx1"/>
                  </w14:solidFill>
                </w14:textFill>
              </w:rPr>
            </w:pPr>
            <w:r>
              <w:rPr>
                <w:rFonts w:hint="default" w:ascii="宋体" w:hAnsi="宋体" w:cs="宋体"/>
                <w:iCs/>
                <w:color w:val="000000" w:themeColor="text1"/>
                <w:sz w:val="18"/>
                <w:szCs w:val="18"/>
                <w14:textFill>
                  <w14:solidFill>
                    <w14:schemeClr w14:val="tx1"/>
                  </w14:solidFill>
                </w14:textFill>
              </w:rPr>
              <w:t>课件设计与开发</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樊敏生</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教育</w:t>
            </w:r>
          </w:p>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管理</w:t>
            </w:r>
          </w:p>
        </w:tc>
        <w:tc>
          <w:tcPr>
            <w:tcW w:w="102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85</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职业教育政策解读</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Arial"/>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导师组</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E0214</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86</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数媒专业人才需求预测</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四</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Arial"/>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导师组</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iCs/>
                <w:color w:val="000000" w:themeColor="text1"/>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jc w:val="center"/>
        </w:trPr>
        <w:tc>
          <w:tcPr>
            <w:tcW w:w="4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w:t>
            </w:r>
          </w:p>
        </w:tc>
        <w:tc>
          <w:tcPr>
            <w:tcW w:w="62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校内</w:t>
            </w:r>
          </w:p>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实训</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81</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微格教学</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张筱兰</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8" w:hRule="exact"/>
          <w:jc w:val="center"/>
        </w:trPr>
        <w:tc>
          <w:tcPr>
            <w:tcW w:w="4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82</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w w:val="90"/>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课例分析</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导师组</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1"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校外</w:t>
            </w:r>
          </w:p>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实训</w:t>
            </w: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83</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教育见习</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导师组</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6"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84</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教育实习</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五</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36</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导师组</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3" w:hRule="exact"/>
          <w:jc w:val="center"/>
        </w:trPr>
        <w:tc>
          <w:tcPr>
            <w:tcW w:w="49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629"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b/>
                <w:bCs/>
                <w:color w:val="000000" w:themeColor="text1"/>
                <w:kern w:val="0"/>
                <w:sz w:val="18"/>
                <w:szCs w:val="18"/>
                <w14:textFill>
                  <w14:solidFill>
                    <w14:schemeClr w14:val="tx1"/>
                  </w14:solidFill>
                </w14:textFill>
              </w:rPr>
            </w:pPr>
          </w:p>
        </w:tc>
        <w:tc>
          <w:tcPr>
            <w:tcW w:w="102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E0215</w:t>
            </w:r>
            <w:r>
              <w:rPr>
                <w:rFonts w:hint="default"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85</w:t>
            </w:r>
          </w:p>
        </w:tc>
        <w:tc>
          <w:tcPr>
            <w:tcW w:w="23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教育研习</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五</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7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18</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185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Arial"/>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导师组</w:t>
            </w:r>
          </w:p>
        </w:tc>
        <w:tc>
          <w:tcPr>
            <w:tcW w:w="84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Arial"/>
                <w:color w:val="000000" w:themeColor="text1"/>
                <w:kern w:val="0"/>
                <w:sz w:val="18"/>
                <w:szCs w:val="18"/>
                <w14:textFill>
                  <w14:solidFill>
                    <w14:schemeClr w14:val="tx1"/>
                  </w14:solidFill>
                </w14:textFill>
              </w:rPr>
            </w:pPr>
            <w:r>
              <w:rPr>
                <w:rFonts w:hint="eastAsia" w:ascii="宋体" w:hAnsi="宋体" w:cs="宋体"/>
                <w:iCs/>
                <w:color w:val="000000" w:themeColor="text1"/>
                <w:kern w:val="0"/>
                <w:sz w:val="18"/>
                <w:szCs w:val="18"/>
                <w:lang w:bidi="ar"/>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jc w:val="center"/>
        </w:trPr>
        <w:tc>
          <w:tcPr>
            <w:tcW w:w="1122" w:type="dxa"/>
            <w:gridSpan w:val="2"/>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总学分</w:t>
            </w:r>
          </w:p>
        </w:tc>
        <w:tc>
          <w:tcPr>
            <w:tcW w:w="8644" w:type="dxa"/>
            <w:gridSpan w:val="8"/>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rPr>
                            <w:t>547</w:t>
                          </w:r>
                          <w:r>
                            <w:rPr>
                              <w:rFonts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IGfcP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&#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BfIGfcPAgAACQQAAA4AAAAAAAAAAQAgAAAA&#10;HwEAAGRycy9lMm9Eb2MueG1sUEsFBgAAAAAGAAYAWQEAAKAFAAAAAA==&#10;">
              <v:fill on="f" focussize="0,0"/>
              <v:stroke on="f" weight="0.5pt"/>
              <v:imagedata o:title=""/>
              <o:lock v:ext="edit" aspectratio="f"/>
              <v:textbox inset="0mm,0mm,0mm,0mm" style="mso-fit-shape-to-text:t;">
                <w:txbx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rPr>
                      <w:t>547</w:t>
                    </w:r>
                    <w:r>
                      <w:rPr>
                        <w:rFonts w:asciiTheme="minorEastAsia" w:hAnsi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教育技术学学术学位博士研究生培养方案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教育技术学学术学位硕士研究生培养方案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教育硕士现代教育技术专业学位研究生培养方案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A52A8"/>
    <w:rsid w:val="66916C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