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2"/>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21053"/>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数学与统计学院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22750"/>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14656"/>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5944"/>
      <w:bookmarkStart w:id="14" w:name="_Toc25379"/>
      <w:bookmarkStart w:id="15" w:name="_Toc11219"/>
      <w:bookmarkStart w:id="16" w:name="_Toc516559210"/>
      <w:bookmarkStart w:id="17" w:name="_Toc6024"/>
      <w:bookmarkStart w:id="18" w:name="_Toc527397065"/>
      <w:bookmarkStart w:id="19" w:name="_Toc24865"/>
      <w:bookmarkStart w:id="20" w:name="_Toc9760"/>
      <w:r>
        <w:rPr>
          <w:rFonts w:hint="eastAsia" w:ascii="华文中宋" w:hAnsi="华文中宋" w:eastAsia="华文中宋" w:cs="华文中宋"/>
          <w:b/>
          <w:bCs/>
          <w:color w:val="000000"/>
          <w:kern w:val="0"/>
          <w:sz w:val="36"/>
          <w:szCs w:val="36"/>
        </w:rPr>
        <w:t>目 录</w:t>
      </w:r>
      <w:bookmarkEnd w:id="11"/>
      <w:bookmarkEnd w:id="12"/>
      <w:bookmarkEnd w:id="13"/>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color w:val="000000" w:themeColor="text1"/>
          <w:sz w:val="30"/>
          <w:szCs w:val="30"/>
          <w14:textFill>
            <w14:solidFill>
              <w14:schemeClr w14:val="tx1"/>
            </w14:solidFill>
          </w14:textFill>
        </w:rPr>
        <w:instrText xml:space="preserve">TOC \o "1-1" \h \u </w:instrText>
      </w:r>
      <w:r>
        <w:rPr>
          <w:rFonts w:hint="eastAsia" w:ascii="仿宋" w:hAnsi="仿宋" w:eastAsia="仿宋" w:cs="仿宋"/>
          <w:bCs/>
          <w:color w:val="000000" w:themeColor="text1"/>
          <w:sz w:val="30"/>
          <w:szCs w:val="30"/>
          <w14:textFill>
            <w14:solidFill>
              <w14:schemeClr w14:val="tx1"/>
            </w14:solidFill>
          </w14:textFill>
        </w:rPr>
        <w:fldChar w:fldCharType="separate"/>
      </w: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_Toc11304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数学学术学位博士研究生培养方</w:t>
      </w:r>
      <w:bookmarkStart w:id="37" w:name="_GoBack"/>
      <w:bookmarkEnd w:id="37"/>
      <w:r>
        <w:rPr>
          <w:rFonts w:hint="eastAsia" w:ascii="仿宋" w:hAnsi="仿宋" w:eastAsia="仿宋" w:cs="仿宋"/>
          <w:bCs/>
          <w:sz w:val="30"/>
          <w:szCs w:val="30"/>
        </w:rPr>
        <w:t>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_Toc11304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_Toc7233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数学学术学位硕士研究生培养方案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_Toc7233 </w:instrText>
      </w:r>
      <w:r>
        <w:rPr>
          <w:rFonts w:hint="eastAsia" w:ascii="仿宋" w:hAnsi="仿宋" w:eastAsia="仿宋" w:cs="仿宋"/>
          <w:sz w:val="30"/>
          <w:szCs w:val="30"/>
        </w:rPr>
        <w:fldChar w:fldCharType="separate"/>
      </w:r>
      <w:r>
        <w:rPr>
          <w:rFonts w:hint="eastAsia" w:ascii="仿宋" w:hAnsi="仿宋" w:eastAsia="仿宋" w:cs="仿宋"/>
          <w:sz w:val="30"/>
          <w:szCs w:val="30"/>
        </w:rPr>
        <w:t>6</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bCs/>
          <w:color w:val="000000" w:themeColor="text1"/>
          <w:sz w:val="30"/>
          <w:szCs w:val="30"/>
          <w14:textFill>
            <w14:solidFill>
              <w14:schemeClr w14:val="tx1"/>
            </w14:solidFill>
          </w14:textFill>
        </w:rPr>
        <w:fldChar w:fldCharType="begin"/>
      </w:r>
      <w:r>
        <w:rPr>
          <w:rFonts w:hint="eastAsia" w:ascii="仿宋" w:hAnsi="仿宋" w:eastAsia="仿宋" w:cs="仿宋"/>
          <w:bCs/>
          <w:sz w:val="30"/>
          <w:szCs w:val="30"/>
        </w:rPr>
        <w:instrText xml:space="preserve"> HYPERLINK \l _Toc19693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统计学学术学位硕士研究生培养方案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_Toc19693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bCs/>
          <w:color w:val="000000" w:themeColor="text1"/>
          <w:sz w:val="30"/>
          <w:szCs w:val="30"/>
          <w14:textFill>
            <w14:solidFill>
              <w14:schemeClr w14:val="tx1"/>
            </w14:solidFill>
          </w14:textFill>
        </w:rPr>
        <w:fldChar w:fldCharType="end"/>
      </w:r>
    </w:p>
    <w:p>
      <w:pPr>
        <w:pStyle w:val="2"/>
        <w:pageBreakBefore w:val="0"/>
        <w:widowControl w:val="0"/>
        <w:kinsoku/>
        <w:wordWrap/>
        <w:overflowPunct/>
        <w:topLinePunct w:val="0"/>
        <w:autoSpaceDE/>
        <w:autoSpaceDN/>
        <w:bidi w:val="0"/>
        <w:adjustRightInd/>
        <w:snapToGrid/>
        <w:spacing w:before="120" w:line="520" w:lineRule="exact"/>
        <w:textAlignment w:val="auto"/>
        <w:rPr>
          <w:rFonts w:hint="eastAsia" w:ascii="黑体" w:hAnsi="黑体" w:cs="黑体"/>
          <w:bCs/>
          <w:color w:val="000000" w:themeColor="text1"/>
          <w:szCs w:val="32"/>
          <w14:textFill>
            <w14:solidFill>
              <w14:schemeClr w14:val="tx1"/>
            </w14:solidFill>
          </w14:textFill>
        </w:rPr>
        <w:sectPr>
          <w:headerReference r:id="rId3" w:type="default"/>
          <w:footerReference r:id="rId4" w:type="default"/>
          <w:pgSz w:w="11906" w:h="16838"/>
          <w:pgMar w:top="1701" w:right="1474" w:bottom="1418" w:left="1418" w:header="1191" w:footer="1021" w:gutter="0"/>
          <w:cols w:space="0" w:num="1"/>
          <w:docGrid w:linePitch="317" w:charSpace="0"/>
        </w:sectPr>
      </w:pPr>
      <w:r>
        <w:rPr>
          <w:rFonts w:hint="eastAsia" w:ascii="仿宋" w:hAnsi="仿宋" w:eastAsia="仿宋" w:cs="仿宋"/>
          <w:bCs/>
          <w:color w:val="000000" w:themeColor="text1"/>
          <w:sz w:val="30"/>
          <w:szCs w:val="30"/>
          <w14:textFill>
            <w14:solidFill>
              <w14:schemeClr w14:val="tx1"/>
            </w14:solidFill>
          </w14:textFill>
        </w:rPr>
        <w:fldChar w:fldCharType="end"/>
      </w:r>
    </w:p>
    <w:p>
      <w:pPr>
        <w:pStyle w:val="2"/>
        <w:spacing w:before="120"/>
        <w:rPr>
          <w:rFonts w:ascii="黑体" w:hAnsi="黑体" w:cs="黑体"/>
          <w:bCs/>
          <w:color w:val="000000" w:themeColor="text1"/>
          <w:szCs w:val="32"/>
          <w14:textFill>
            <w14:solidFill>
              <w14:schemeClr w14:val="tx1"/>
            </w14:solidFill>
          </w14:textFill>
        </w:rPr>
      </w:pPr>
      <w:bookmarkStart w:id="21" w:name="_Toc11304"/>
      <w:r>
        <w:rPr>
          <w:rFonts w:hint="eastAsia" w:ascii="黑体" w:hAnsi="黑体" w:cs="黑体"/>
          <w:bCs/>
          <w:color w:val="000000" w:themeColor="text1"/>
          <w:szCs w:val="32"/>
          <w14:textFill>
            <w14:solidFill>
              <w14:schemeClr w14:val="tx1"/>
            </w14:solidFill>
          </w14:textFill>
        </w:rPr>
        <w:t>数学学术学位博士研究生培养方案</w:t>
      </w:r>
      <w:bookmarkEnd w:id="14"/>
      <w:bookmarkEnd w:id="15"/>
      <w:bookmarkEnd w:id="16"/>
      <w:bookmarkEnd w:id="17"/>
      <w:bookmarkEnd w:id="18"/>
      <w:bookmarkEnd w:id="19"/>
      <w:bookmarkEnd w:id="20"/>
      <w:bookmarkEnd w:id="21"/>
    </w:p>
    <w:p>
      <w:pPr>
        <w:spacing w:before="72" w:beforeLines="30"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（学科或专业代码0701）</w:t>
      </w:r>
    </w:p>
    <w:p>
      <w:pPr>
        <w:spacing w:line="480" w:lineRule="exact"/>
        <w:ind w:firstLine="471"/>
        <w:rPr>
          <w:rFonts w:ascii="楷体_GB2312" w:hAnsi="宋体" w:eastAsia="楷体_GB2312"/>
          <w:i/>
          <w:iCs/>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学是研究数量关系、空间形式和演绎系统等的一门科学体系，是一门集严密性、逻辑性、抽象性、精确性、创造力与想象力于一体的学问，是刻画自然规律和社会规律的科学语言和有效工具。数学学科对于人类认识自然现象，描述自然规律发挥着独特的、不可替代的作用，是一切自然科学的基础，它为其他学科提供语言、观念、理论和方法，许多重大发现都依赖于数学的发展与进步。数学又是经济建设、国防建设和技术进步的重要工具，对加快我国现代化建设和增强综合国力至关重要。数学教育对提高全民科学文化素质、培养现代化建设所需要的各级人才有着举足轻重的意义。</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西北师范大学数学学科是在1939年始设立的数学专业的基础上产生和发展起来的，经过多年的艰苦奋斗，特别是80年代末期以来的努力进取，把数学学科建设成了如今成绩突出、特色鲜明的甘肃省优势学科。目前，本学科拥有数学一级学科博士学位授权点、数学博士后科研流动工作站和数学一级学科硕士学位授权点。数学一级学科博士学位授权点是甘肃省仅有的两个数学一级学科博士点之一。数学学科也是甘肃省省级重点一级学科，数学与应用数学专业是教育部特色专业。</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本学科立足大西北艰苦环境，为全国，尤其是甘、青、宁、蒙、新等西北地区培养了大量“留得下、用得上”的数学教育、数学研究和数学应用人才，为增强民族团结和促进民族教育事业进步做出了重要贡献。</w:t>
      </w:r>
    </w:p>
    <w:p>
      <w:pPr>
        <w:spacing w:line="480" w:lineRule="exact"/>
        <w:ind w:firstLine="471"/>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培养思想先进、品德优秀并具有坚实宽广的数学基础理论和系统深入的专门知识，熟悉数学学科有关领域的前沿动态和发展趋势，掌握必要的相关学科知识，具有独立从事数学及相关学科创新性研究的能力，能够做出创造性成果的数学研究型人才。培养博士的具体求如下：</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1.具有较高的政治素质、良好的道德品质和团结协作精神，遵纪守法，学风严谨，热爱数学，有强烈的事业心和献身精神；</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2.具有坚实宽广的数学基础理论知识，掌握所学领域系统深入的专门知识，深入了解所在研究方向的前沿动态和发展趋势，具有独立从事科学研究的能力，能做出系统的有创造性的研究成果； </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3.熟练地掌握一门外语，能阅读本专业的外文资料和撰写外文文章,并且可使用外语与本专业同行进行学术交流；</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4.毕业后能够胜任高等院校、科研院所、企业以及其他单位的与本专业相关的教学、科研或其他实际工作，并能适应国际化信息化时代要求。</w:t>
      </w:r>
    </w:p>
    <w:p>
      <w:pPr>
        <w:spacing w:line="480" w:lineRule="exact"/>
        <w:ind w:firstLine="471"/>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博士研究生培养方式以科学研究为主，重点是培养独立从事科学研究工作的能力，课程要根据科研课题拓宽培养口径，扩大知识面，通过一定学位课程的学习，系统掌握所学研究领域的基础理论、专门知识和研究方法，提高其科学研究能力，同时注意培养严谨的科学作风。</w:t>
      </w:r>
    </w:p>
    <w:p>
      <w:pPr>
        <w:spacing w:line="480" w:lineRule="exact"/>
        <w:ind w:firstLine="482"/>
        <w:rPr>
          <w:rFonts w:ascii="黑体" w:eastAsia="黑体"/>
          <w:color w:val="000000" w:themeColor="text1"/>
          <w:spacing w:val="-4"/>
          <w:sz w:val="24"/>
          <w14:textFill>
            <w14:solidFill>
              <w14:schemeClr w14:val="tx1"/>
            </w14:solidFill>
          </w14:textFill>
        </w:rPr>
      </w:pPr>
      <w:r>
        <w:rPr>
          <w:rFonts w:hint="eastAsia" w:ascii="宋体" w:hAnsi="宋体"/>
          <w:color w:val="000000" w:themeColor="text1"/>
          <w:spacing w:val="-4"/>
          <w:kern w:val="0"/>
          <w:sz w:val="24"/>
          <w14:textFill>
            <w14:solidFill>
              <w14:schemeClr w14:val="tx1"/>
            </w14:solidFill>
          </w14:textFill>
        </w:rPr>
        <w:t>在指导方式上，采取导师负责制度，同时提倡建立以导师为首的博士生指导小组，充分发挥集体指导的优势。</w:t>
      </w:r>
      <w:r>
        <w:rPr>
          <w:rFonts w:ascii="宋体" w:hAnsi="宋体" w:cs="宋体"/>
          <w:color w:val="000000" w:themeColor="text1"/>
          <w:spacing w:val="-4"/>
          <w:kern w:val="0"/>
          <w:sz w:val="24"/>
          <w14:textFill>
            <w14:solidFill>
              <w14:schemeClr w14:val="tx1"/>
            </w14:solidFill>
          </w14:textFill>
        </w:rPr>
        <w:t>充分发挥导师指导研究生的主导作用，</w:t>
      </w:r>
      <w:r>
        <w:rPr>
          <w:rFonts w:hint="eastAsia" w:ascii="宋体" w:hAnsi="宋体"/>
          <w:color w:val="000000" w:themeColor="text1"/>
          <w:spacing w:val="-4"/>
          <w:kern w:val="0"/>
          <w:sz w:val="24"/>
          <w14:textFill>
            <w14:solidFill>
              <w14:schemeClr w14:val="tx1"/>
            </w14:solidFill>
          </w14:textFill>
        </w:rPr>
        <w:t>根据博士生的科研兴趣指导制定个人培养计划，</w:t>
      </w:r>
      <w:r>
        <w:rPr>
          <w:rFonts w:ascii="宋体" w:hAnsi="宋体" w:cs="宋体"/>
          <w:color w:val="000000" w:themeColor="text1"/>
          <w:spacing w:val="-4"/>
          <w:kern w:val="0"/>
          <w:sz w:val="24"/>
          <w14:textFill>
            <w14:solidFill>
              <w14:schemeClr w14:val="tx1"/>
            </w14:solidFill>
          </w14:textFill>
        </w:rPr>
        <w:t>积极调动研究生学习的主动性和自觉性，努力体现</w:t>
      </w:r>
      <w:r>
        <w:rPr>
          <w:rFonts w:ascii="??" w:hAnsi="??"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以生为本</w:t>
      </w:r>
      <w:r>
        <w:rPr>
          <w:rFonts w:ascii="??" w:hAnsi="??"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的办学理念和</w:t>
      </w:r>
      <w:r>
        <w:rPr>
          <w:rFonts w:ascii="??" w:hAnsi="??"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因材施教</w:t>
      </w:r>
      <w:r>
        <w:rPr>
          <w:rFonts w:ascii="??" w:hAnsi="??"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的教育思想</w:t>
      </w:r>
      <w:r>
        <w:rPr>
          <w:rFonts w:hint="eastAsia" w:ascii="宋体" w:hAnsi="宋体"/>
          <w:color w:val="000000" w:themeColor="text1"/>
          <w:spacing w:val="-4"/>
          <w:kern w:val="0"/>
          <w:sz w:val="24"/>
          <w14:textFill>
            <w14:solidFill>
              <w14:schemeClr w14:val="tx1"/>
            </w14:solidFill>
          </w14:textFill>
        </w:rPr>
        <w:t>。授课采用</w:t>
      </w:r>
      <w:r>
        <w:rPr>
          <w:rFonts w:ascii="宋体" w:hAnsi="宋体" w:cs="宋体"/>
          <w:color w:val="000000" w:themeColor="text1"/>
          <w:spacing w:val="-4"/>
          <w:kern w:val="0"/>
          <w:sz w:val="24"/>
          <w14:textFill>
            <w14:solidFill>
              <w14:schemeClr w14:val="tx1"/>
            </w14:solidFill>
          </w14:textFill>
        </w:rPr>
        <w:t>启发式、研讨式的教学方式</w:t>
      </w:r>
      <w:r>
        <w:rPr>
          <w:rFonts w:hint="eastAsia" w:ascii="宋体" w:hAnsi="宋体"/>
          <w:color w:val="000000" w:themeColor="text1"/>
          <w:spacing w:val="-4"/>
          <w:kern w:val="0"/>
          <w:sz w:val="24"/>
          <w14:textFill>
            <w14:solidFill>
              <w14:schemeClr w14:val="tx1"/>
            </w14:solidFill>
          </w14:textFill>
        </w:rPr>
        <w:t>。博士生</w:t>
      </w:r>
      <w:r>
        <w:rPr>
          <w:rFonts w:ascii="宋体" w:hAnsi="宋体" w:cs="宋体"/>
          <w:color w:val="000000" w:themeColor="text1"/>
          <w:spacing w:val="-4"/>
          <w:kern w:val="0"/>
          <w:sz w:val="24"/>
          <w14:textFill>
            <w14:solidFill>
              <w14:schemeClr w14:val="tx1"/>
            </w14:solidFill>
          </w14:textFill>
        </w:rPr>
        <w:t>通过参加必要的学术讲座、学术报告、讨论班等学术活动来增加</w:t>
      </w:r>
      <w:r>
        <w:rPr>
          <w:rFonts w:hint="eastAsia" w:ascii="宋体" w:hAnsi="宋体"/>
          <w:color w:val="000000" w:themeColor="text1"/>
          <w:spacing w:val="-4"/>
          <w:kern w:val="0"/>
          <w:sz w:val="24"/>
          <w14:textFill>
            <w14:solidFill>
              <w14:schemeClr w14:val="tx1"/>
            </w14:solidFill>
          </w14:textFill>
        </w:rPr>
        <w:t>和拓展</w:t>
      </w:r>
      <w:r>
        <w:rPr>
          <w:rFonts w:ascii="宋体" w:hAnsi="宋体" w:cs="宋体"/>
          <w:color w:val="000000" w:themeColor="text1"/>
          <w:spacing w:val="-4"/>
          <w:kern w:val="0"/>
          <w:sz w:val="24"/>
          <w14:textFill>
            <w14:solidFill>
              <w14:schemeClr w14:val="tx1"/>
            </w14:solidFill>
          </w14:textFill>
        </w:rPr>
        <w:t>自己的理论基础知识，提高自己的自学能力、动手能力、表达能力、写作能力和创新能力</w:t>
      </w:r>
      <w:r>
        <w:rPr>
          <w:rFonts w:hint="eastAsia" w:ascii="宋体" w:hAnsi="宋体"/>
          <w:color w:val="000000" w:themeColor="text1"/>
          <w:spacing w:val="-4"/>
          <w:kern w:val="0"/>
          <w:sz w:val="24"/>
          <w14:textFill>
            <w14:solidFill>
              <w14:schemeClr w14:val="tx1"/>
            </w14:solidFill>
          </w14:textFill>
        </w:rPr>
        <w:t>以及</w:t>
      </w:r>
      <w:r>
        <w:rPr>
          <w:rFonts w:ascii="宋体" w:hAnsi="宋体" w:cs="宋体"/>
          <w:color w:val="000000" w:themeColor="text1"/>
          <w:spacing w:val="-4"/>
          <w:kern w:val="0"/>
          <w:sz w:val="24"/>
          <w14:textFill>
            <w14:solidFill>
              <w14:schemeClr w14:val="tx1"/>
            </w14:solidFill>
          </w14:textFill>
        </w:rPr>
        <w:t>严谨的科学作风。</w:t>
      </w:r>
    </w:p>
    <w:p>
      <w:pPr>
        <w:spacing w:line="480" w:lineRule="exact"/>
        <w:ind w:firstLine="471"/>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四、学制及学习年限</w:t>
      </w:r>
    </w:p>
    <w:p>
      <w:pPr>
        <w:spacing w:line="480" w:lineRule="exact"/>
        <w:ind w:firstLine="480"/>
        <w:rPr>
          <w:rFonts w:ascii="黑体" w:eastAsia="黑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全日制博士研究生基本学制3年，在职攻读博士学位研究生的基本学制4年。如确需延长学习年限，博士研究生可以提出申请，可适当延长，最长学习年限6年。博士研究生在规定的学制内原则上不允许提前毕业。</w:t>
      </w:r>
    </w:p>
    <w:p>
      <w:pPr>
        <w:spacing w:line="480" w:lineRule="exact"/>
        <w:ind w:firstLine="48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五、研究方向</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1.环的同调理论</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2.微分方程与动力系统</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3.非线性分析</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4.整体微分几何</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5.模糊分析</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6.偏微分方程及应用</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7.调和分析</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8.无穷维动力系统</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9.微分方程数值解</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10.随机分析</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11.应用统计</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12.应用密码学</w:t>
      </w:r>
    </w:p>
    <w:p>
      <w:pPr>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13.半群理论，预测与决策理论</w:t>
      </w:r>
    </w:p>
    <w:p>
      <w:pPr>
        <w:numPr>
          <w:ilvl w:val="0"/>
          <w:numId w:val="1"/>
        </w:num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学分要求</w:t>
      </w:r>
    </w:p>
    <w:p>
      <w:pPr>
        <w:spacing w:line="480" w:lineRule="exact"/>
        <w:ind w:firstLine="482"/>
        <w:rPr>
          <w:rFonts w:ascii="黑体" w:eastAsia="黑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至少须修满22学分，其中课程学习不少于20学分，实践环节2学分。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w:t>
      </w:r>
      <w:r>
        <w:rPr>
          <w:rFonts w:hint="eastAsia" w:ascii="宋体" w:hAnsi="宋体"/>
          <w:color w:val="000000" w:themeColor="text1"/>
          <w:sz w:val="24"/>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hAnsi="黑体" w:eastAsia="黑体"/>
          <w:color w:val="000000" w:themeColor="text1"/>
          <w:sz w:val="24"/>
          <w14:textFill>
            <w14:solidFill>
              <w14:schemeClr w14:val="tx1"/>
            </w14:solidFill>
          </w14:textFill>
        </w:rPr>
        <w:t>）</w:t>
      </w:r>
    </w:p>
    <w:p>
      <w:pPr>
        <w:spacing w:line="480" w:lineRule="exact"/>
        <w:ind w:firstLine="48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八、学位论文要求</w:t>
      </w:r>
    </w:p>
    <w:p>
      <w:pPr>
        <w:spacing w:line="480" w:lineRule="exact"/>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学位论文是本学科博士生培养的重要组成部分，是对博士生进行科学研究的全面训练，是培养博士生创新能力，综合运用所学知识发现问题、分析问题和解决问题能力的主要环节。</w:t>
      </w:r>
    </w:p>
    <w:p>
      <w:pPr>
        <w:spacing w:line="480" w:lineRule="exact"/>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本学科博士研究生的学位论文应当是一篇完整的、系统的学术论文，应能表明作者具有独立从事科学研究工作的能力，反映作者在本门学科上掌握了坚实宽广的基础理论和系统深入的专业知识。</w:t>
      </w:r>
    </w:p>
    <w:p>
      <w:pPr>
        <w:spacing w:line="480" w:lineRule="exact"/>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博士研究生的学位论文应在导师的指导下，由博士研究生独立完成。论文应在前两学期学习的过程中，通过大量查阅文献、收集资料和调查研究等工作，在准确把握本研究领域国内外研究现状、发展动态的基础上选择学科前沿领域或对我国经济和社会发展有重要意义的课题进行系统深入的研究，突出学位论文的创新性和先进性。一般应在第三学期内通过中期阶段考核后进行开题报告，在完成学位论文开题报告后的一年左右进行论文中期检查。研究阶段不少于三个学期。</w:t>
      </w:r>
    </w:p>
    <w:p>
      <w:pPr>
        <w:spacing w:line="480" w:lineRule="exact"/>
        <w:ind w:firstLine="482"/>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论文要求框架清晰、结构严谨、行文流畅，并有专门章节对与选题相关的研究状况综合评述，同时对自己的研究成果做出全面说明。博士学位论文的部分主要成果应达到在国际重要学术刊物上发表的水平。</w:t>
      </w:r>
    </w:p>
    <w:p>
      <w:pPr>
        <w:spacing w:line="480" w:lineRule="exact"/>
        <w:ind w:firstLine="482"/>
        <w:rPr>
          <w:rFonts w:ascii="宋体" w:hAnsi="宋体"/>
          <w:color w:val="000000" w:themeColor="text1"/>
          <w:kern w:val="0"/>
          <w:sz w:val="24"/>
          <w14:textFill>
            <w14:solidFill>
              <w14:schemeClr w14:val="tx1"/>
            </w14:solidFill>
          </w14:textFill>
        </w:rPr>
      </w:pPr>
    </w:p>
    <w:p>
      <w:pPr>
        <w:spacing w:line="480" w:lineRule="exact"/>
        <w:ind w:firstLine="480"/>
        <w:rPr>
          <w:rFonts w:asciiTheme="minorEastAsia" w:hAnsiTheme="minorEastAsia" w:cstheme="minorEastAsia"/>
          <w:color w:val="000000" w:themeColor="text1"/>
          <w:sz w:val="24"/>
          <w14:textFill>
            <w14:solidFill>
              <w14:schemeClr w14:val="tx1"/>
            </w14:solidFill>
          </w14:textFill>
        </w:rPr>
        <w:sectPr>
          <w:footerReference r:id="rId5" w:type="default"/>
          <w:pgSz w:w="11906" w:h="16838"/>
          <w:pgMar w:top="1701" w:right="1474" w:bottom="1418" w:left="1418" w:header="1191" w:footer="1021" w:gutter="0"/>
          <w:pgNumType w:fmt="decimal" w:start="1"/>
          <w:cols w:space="0" w:num="1"/>
          <w:docGrid w:linePitch="317" w:charSpace="0"/>
        </w:sectPr>
      </w:pPr>
      <w:r>
        <w:rPr>
          <w:rFonts w:hint="eastAsia" w:asciiTheme="minorEastAsia" w:hAnsiTheme="minorEastAsia" w:cstheme="minorEastAsia"/>
          <w:color w:val="000000" w:themeColor="text1"/>
          <w:sz w:val="24"/>
          <w14:textFill>
            <w14:solidFill>
              <w14:schemeClr w14:val="tx1"/>
            </w14:solidFill>
          </w14:textFill>
        </w:rPr>
        <w:t xml:space="preserve">附件：数学学术学位博士研究生课程设置与教学计划表   </w:t>
      </w:r>
    </w:p>
    <w:p>
      <w:pPr>
        <w:spacing w:line="360" w:lineRule="exact"/>
        <w:jc w:val="left"/>
        <w:rPr>
          <w:rFonts w:asciiTheme="minorEastAsia" w:hAnsiTheme="minorEastAsia" w:cstheme="minorEastAsia"/>
          <w:color w:val="000000" w:themeColor="text1"/>
          <w:sz w:val="24"/>
          <w14:textFill>
            <w14:solidFill>
              <w14:schemeClr w14:val="tx1"/>
            </w14:solidFill>
          </w14:textFill>
        </w:rPr>
      </w:pPr>
      <w:bookmarkStart w:id="22" w:name="_Toc21110"/>
      <w:bookmarkStart w:id="23" w:name="_Toc516559211"/>
      <w:bookmarkStart w:id="24" w:name="_Toc12243"/>
      <w:bookmarkStart w:id="25" w:name="_Toc22409"/>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数学学术学位博士研究生课程设置与教学计划表</w:t>
      </w:r>
    </w:p>
    <w:tbl>
      <w:tblPr>
        <w:tblStyle w:val="7"/>
        <w:tblW w:w="9504" w:type="dxa"/>
        <w:tblInd w:w="-24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1"/>
        <w:gridCol w:w="600"/>
        <w:gridCol w:w="1020"/>
        <w:gridCol w:w="2274"/>
        <w:gridCol w:w="812"/>
        <w:gridCol w:w="592"/>
        <w:gridCol w:w="600"/>
        <w:gridCol w:w="587"/>
        <w:gridCol w:w="1510"/>
        <w:gridCol w:w="99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1111" w:type="dxa"/>
            <w:gridSpan w:val="2"/>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类别</w:t>
            </w:r>
          </w:p>
        </w:tc>
        <w:tc>
          <w:tcPr>
            <w:tcW w:w="102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课程代码</w:t>
            </w:r>
          </w:p>
        </w:tc>
        <w:tc>
          <w:tcPr>
            <w:tcW w:w="2274"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课程名称</w:t>
            </w:r>
          </w:p>
        </w:tc>
        <w:tc>
          <w:tcPr>
            <w:tcW w:w="81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学期</w:t>
            </w:r>
          </w:p>
        </w:tc>
        <w:tc>
          <w:tcPr>
            <w:tcW w:w="592"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学时</w:t>
            </w:r>
          </w:p>
        </w:tc>
        <w:tc>
          <w:tcPr>
            <w:tcW w:w="60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总学</w:t>
            </w:r>
          </w:p>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时数</w:t>
            </w:r>
          </w:p>
        </w:tc>
        <w:tc>
          <w:tcPr>
            <w:tcW w:w="587"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学分</w:t>
            </w:r>
          </w:p>
        </w:tc>
        <w:tc>
          <w:tcPr>
            <w:tcW w:w="1510"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任课教师</w:t>
            </w:r>
          </w:p>
        </w:tc>
        <w:tc>
          <w:tcPr>
            <w:tcW w:w="998" w:type="dxa"/>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考核方式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p>
            <w:pPr>
              <w:keepNext w:val="0"/>
              <w:keepLines w:val="0"/>
              <w:suppressLineNumbers w:val="0"/>
              <w:adjustRightInd w:val="0"/>
              <w:snapToGrid w:val="0"/>
              <w:spacing w:before="0" w:beforeAutospacing="0" w:after="0" w:afterAutospacing="0" w:line="264"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20" w:lineRule="exact"/>
              <w:ind w:left="0" w:right="0"/>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D0051001</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pacing w:val="-6"/>
                <w:sz w:val="18"/>
                <w:szCs w:val="18"/>
                <w14:textFill>
                  <w14:solidFill>
                    <w14:schemeClr w14:val="tx1"/>
                  </w14:solidFill>
                </w14:textFill>
              </w:rPr>
              <w:t>中国马克思主义与当代</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36</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马克思主义学院</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4"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D0051002</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马克思恩格斯列宁经典著作选读</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18</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马克思主义学院</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9"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D0101222</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第一外国语</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36</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外国语学院</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D0152106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高等分析学</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72</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导师组</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D0152107</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现代数学基础</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72</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乔虎生</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王占平</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狄振兴</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D0153211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偏微分方程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72</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导师组</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D0153212</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代数学-环模理论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72</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4</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赵仁育 杨晓燕</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张翠萍</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课</w:t>
            </w:r>
          </w:p>
        </w:tc>
        <w:tc>
          <w:tcPr>
            <w:tcW w:w="60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微分动力系统</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马如云</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分歧理论及其应用</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马如云</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D0154012</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非局部问题</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马如云</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D0154013</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常微分算子谱理论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马如云</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D0154014</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环与模范畴</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杨晓燕</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D0154015</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环的古典同调维数理论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刘仲奎</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相对同调代数</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刘仲奎</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D0154017</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三角范畴与导出范畴</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刘仲奎</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D0154018</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广义幂级数环</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刘仲奎</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D0154019</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非线性分析基础</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李永祥</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非线性发展方程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李永祥</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抽象空间微分方程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李永祥</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D0154022</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白噪声分析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王才士</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D0154023</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量子随机分析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王才士</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D0154024</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Gauss空间上的随机分析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王才士</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D0154025</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spacing w:val="-6"/>
                <w:kern w:val="0"/>
                <w:sz w:val="18"/>
                <w:szCs w:val="18"/>
                <w14:textFill>
                  <w14:solidFill>
                    <w14:schemeClr w14:val="tx1"/>
                  </w14:solidFill>
                </w14:textFill>
              </w:rPr>
            </w:pPr>
            <w:r>
              <w:rPr>
                <w:rFonts w:hint="eastAsia" w:asciiTheme="minorEastAsia" w:hAnsiTheme="minorEastAsia" w:cstheme="minorEastAsia"/>
                <w:color w:val="000000" w:themeColor="text1"/>
                <w:spacing w:val="-6"/>
                <w:kern w:val="0"/>
                <w:sz w:val="18"/>
                <w:szCs w:val="18"/>
                <w14:textFill>
                  <w14:solidFill>
                    <w14:schemeClr w14:val="tx1"/>
                  </w14:solidFill>
                </w14:textFill>
              </w:rPr>
              <w:t>量子动力系统半群及其应用</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王才士</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模糊分析学基础理论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巩增泰</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D0154027</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不确定性问题的数学理论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巩增泰</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D0154028</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不适定问题的正则化方法</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熊向团</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D0154029</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科学计算</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熊向团</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耗散偏微分方程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马巧珍</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pacing w:val="-11"/>
                <w:kern w:val="0"/>
                <w:sz w:val="18"/>
                <w:szCs w:val="18"/>
                <w14:textFill>
                  <w14:solidFill>
                    <w14:schemeClr w14:val="tx1"/>
                  </w14:solidFill>
                </w14:textFill>
              </w:rPr>
              <w:t>单调随机系统理论和应用（I）</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马巧珍</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D0154032</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pacing w:val="-11"/>
                <w:kern w:val="0"/>
                <w:sz w:val="18"/>
                <w:szCs w:val="18"/>
                <w14:textFill>
                  <w14:solidFill>
                    <w14:schemeClr w14:val="tx1"/>
                  </w14:solidFill>
                </w14:textFill>
              </w:rPr>
              <w:t>单调随机系统理论和应用（II）</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马巧珍</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D0154033</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线性算子的谱分析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韩晓玲</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D0154034</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pacing w:val="-11"/>
                <w:kern w:val="0"/>
                <w:sz w:val="18"/>
                <w:szCs w:val="18"/>
                <w14:textFill>
                  <w14:solidFill>
                    <w14:schemeClr w14:val="tx1"/>
                  </w14:solidFill>
                </w14:textFill>
              </w:rPr>
              <w:t>非线性常微分方程边值问题</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韩晓玲</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D0154035</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谱理论与非线性泛函分析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韩晓玲</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pacing w:val="-11"/>
                <w:kern w:val="0"/>
                <w:sz w:val="18"/>
                <w:szCs w:val="18"/>
                <w14:textFill>
                  <w14:solidFill>
                    <w14:schemeClr w14:val="tx1"/>
                  </w14:solidFill>
                </w14:textFill>
              </w:rPr>
              <w:t>非线性常微分方程泛函方法</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韩晓玲</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D0154037</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有限域及其应用</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杜小妮</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D0154038</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现代密码学</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王彩芬</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D0154039</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密码学进展</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王彩芬</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半群引论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乔虎生</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Copulas理论及其应用</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颜荣芳</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D0154042</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随机年龄和相依性</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颜荣芳</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D0154043</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寿命分布类及其应用</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颜荣芳</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D0154044</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黎曼几何</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刘建成</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D0154045</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几何分析</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刘建成</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复几何</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刘建成</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D0154047</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调和分析(I)</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陶双平</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D0154048</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奇异积分理论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陶双平</w:t>
            </w:r>
          </w:p>
        </w:tc>
        <w:tc>
          <w:tcPr>
            <w:tcW w:w="99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D0154049</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Hardy 空间实变理论</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陶双平</w:t>
            </w:r>
          </w:p>
        </w:tc>
        <w:tc>
          <w:tcPr>
            <w:tcW w:w="99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D0154050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非线性椭圆型方程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伏升茂 张丽娜</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D0154059</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非线性抛物型方程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伏升茂 张丽娜</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D0154060</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生物数学</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三</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伏升茂 张丽娜</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D0154106</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论文选讲</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二、三</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四、五</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导师</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102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D0154061</w:t>
            </w:r>
          </w:p>
        </w:tc>
        <w:tc>
          <w:tcPr>
            <w:tcW w:w="2274"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决策与预测理论基础</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54</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乔虎生</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6" w:hRule="atLeast"/>
        </w:trPr>
        <w:tc>
          <w:tcPr>
            <w:tcW w:w="511"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cstheme="minorEastAsia"/>
                <w:b/>
                <w:bCs/>
                <w:color w:val="000000" w:themeColor="text1"/>
                <w:kern w:val="0"/>
                <w:sz w:val="18"/>
                <w:szCs w:val="18"/>
                <w14:textFill>
                  <w14:solidFill>
                    <w14:schemeClr w14:val="tx1"/>
                  </w14:solidFill>
                </w14:textFill>
              </w:rPr>
            </w:pP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课</w:t>
            </w:r>
          </w:p>
        </w:tc>
        <w:tc>
          <w:tcPr>
            <w:tcW w:w="10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D0007000</w:t>
            </w:r>
          </w:p>
        </w:tc>
        <w:tc>
          <w:tcPr>
            <w:tcW w:w="22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Theme="minorEastAsia" w:hAnsiTheme="minorEastAsia" w:cstheme="minorEastAsia"/>
                <w:bCs/>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语言能力提升课程</w:t>
            </w:r>
          </w:p>
        </w:tc>
        <w:tc>
          <w:tcPr>
            <w:tcW w:w="81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二</w:t>
            </w:r>
          </w:p>
        </w:tc>
        <w:tc>
          <w:tcPr>
            <w:tcW w:w="59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36</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51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文学院</w:t>
            </w:r>
          </w:p>
        </w:tc>
        <w:tc>
          <w:tcPr>
            <w:tcW w:w="99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1111"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r>
              <w:rPr>
                <w:rFonts w:hint="eastAsia" w:asciiTheme="minorEastAsia" w:hAnsiTheme="minorEastAsia" w:cstheme="minorEastAsia"/>
                <w:b/>
                <w:color w:val="000000" w:themeColor="text1"/>
                <w:sz w:val="18"/>
                <w:szCs w:val="18"/>
                <w14:textFill>
                  <w14:solidFill>
                    <w14:schemeClr w14:val="tx1"/>
                  </w14:solidFill>
                </w14:textFill>
              </w:rPr>
              <w:t>环节</w:t>
            </w:r>
          </w:p>
        </w:tc>
        <w:tc>
          <w:tcPr>
            <w:tcW w:w="8393" w:type="dxa"/>
            <w:gridSpan w:val="8"/>
            <w:tcBorders>
              <w:tl2br w:val="nil"/>
              <w:tr2bl w:val="nil"/>
            </w:tcBorders>
            <w:vAlign w:val="center"/>
          </w:tcPr>
          <w:p>
            <w:pPr>
              <w:keepNext w:val="0"/>
              <w:keepLines w:val="0"/>
              <w:suppressLineNumbers w:val="0"/>
              <w:spacing w:before="0" w:beforeAutospacing="0" w:after="0" w:afterAutospacing="0"/>
              <w:ind w:left="0" w:right="0"/>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参加校内外学术会议1次(1学分)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111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heme="minorEastAsia" w:hAnsiTheme="minorEastAsia" w:cstheme="minorEastAsia"/>
                <w:b/>
                <w:color w:val="000000" w:themeColor="text1"/>
                <w:sz w:val="18"/>
                <w:szCs w:val="18"/>
                <w14:textFill>
                  <w14:solidFill>
                    <w14:schemeClr w14:val="tx1"/>
                  </w14:solidFill>
                </w14:textFill>
              </w:rPr>
            </w:pPr>
          </w:p>
        </w:tc>
        <w:tc>
          <w:tcPr>
            <w:tcW w:w="8393" w:type="dxa"/>
            <w:gridSpan w:val="8"/>
            <w:tcBorders>
              <w:tl2br w:val="nil"/>
              <w:tr2bl w:val="nil"/>
            </w:tcBorders>
            <w:vAlign w:val="center"/>
          </w:tcPr>
          <w:p>
            <w:pPr>
              <w:keepNext w:val="0"/>
              <w:keepLines w:val="0"/>
              <w:suppressLineNumbers w:val="0"/>
              <w:spacing w:before="0" w:beforeAutospacing="0" w:after="0" w:afterAutospacing="0"/>
              <w:ind w:left="0" w:right="0"/>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选听学科前沿系列讲座1个或给本科生至少做一次学术报告(1学分)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trPr>
        <w:tc>
          <w:tcPr>
            <w:tcW w:w="111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b/>
                <w:bCs/>
                <w:color w:val="000000" w:themeColor="text1"/>
                <w:kern w:val="0"/>
                <w:sz w:val="18"/>
                <w:szCs w:val="18"/>
                <w14:textFill>
                  <w14:solidFill>
                    <w14:schemeClr w14:val="tx1"/>
                  </w14:solidFill>
                </w14:textFill>
              </w:rPr>
              <w:t>总学分</w:t>
            </w:r>
          </w:p>
        </w:tc>
        <w:tc>
          <w:tcPr>
            <w:tcW w:w="8393"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left"/>
              <w:rPr>
                <w:rFonts w:hint="default"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不低于22学分</w:t>
            </w:r>
          </w:p>
        </w:tc>
      </w:tr>
    </w:tbl>
    <w:p>
      <w:pPr>
        <w:pStyle w:val="2"/>
        <w:spacing w:before="120" w:after="120"/>
        <w:rPr>
          <w:rFonts w:ascii="黑体" w:hAnsi="黑体" w:cs="黑体"/>
          <w:bCs/>
          <w:color w:val="000000" w:themeColor="text1"/>
          <w:szCs w:val="32"/>
          <w14:textFill>
            <w14:solidFill>
              <w14:schemeClr w14:val="tx1"/>
            </w14:solidFill>
          </w14:textFill>
        </w:rPr>
        <w:sectPr>
          <w:pgSz w:w="11906" w:h="16838"/>
          <w:pgMar w:top="1701" w:right="1474" w:bottom="1418" w:left="1418" w:header="1191" w:footer="1021" w:gutter="0"/>
          <w:pgNumType w:fmt="decimal"/>
          <w:cols w:space="0" w:num="1"/>
          <w:docGrid w:linePitch="317" w:charSpace="0"/>
        </w:sectPr>
      </w:pPr>
    </w:p>
    <w:p>
      <w:pPr>
        <w:pStyle w:val="2"/>
        <w:spacing w:before="120" w:after="120"/>
        <w:rPr>
          <w:rFonts w:ascii="黑体" w:hAnsi="黑体" w:cs="黑体"/>
          <w:bCs/>
          <w:color w:val="000000" w:themeColor="text1"/>
          <w:szCs w:val="32"/>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bookmarkStart w:id="26" w:name="_Toc2779"/>
      <w:bookmarkStart w:id="27" w:name="_Toc28168"/>
    </w:p>
    <w:p>
      <w:pPr>
        <w:pStyle w:val="2"/>
        <w:spacing w:before="120"/>
        <w:rPr>
          <w:rFonts w:ascii="黑体" w:hAnsi="黑体" w:cs="黑体"/>
          <w:bCs/>
          <w:color w:val="000000" w:themeColor="text1"/>
          <w:szCs w:val="32"/>
          <w14:textFill>
            <w14:solidFill>
              <w14:schemeClr w14:val="tx1"/>
            </w14:solidFill>
          </w14:textFill>
        </w:rPr>
      </w:pPr>
      <w:bookmarkStart w:id="28" w:name="_Toc527397066"/>
      <w:bookmarkStart w:id="29" w:name="_Toc7233"/>
      <w:r>
        <w:rPr>
          <w:rFonts w:hint="eastAsia" w:ascii="黑体" w:hAnsi="黑体" w:cs="黑体"/>
          <w:bCs/>
          <w:color w:val="000000" w:themeColor="text1"/>
          <w:szCs w:val="32"/>
          <w14:textFill>
            <w14:solidFill>
              <w14:schemeClr w14:val="tx1"/>
            </w14:solidFill>
          </w14:textFill>
        </w:rPr>
        <w:t>数学学术学位硕士研究生培养方案</w:t>
      </w:r>
      <w:bookmarkEnd w:id="22"/>
      <w:bookmarkEnd w:id="23"/>
      <w:bookmarkEnd w:id="24"/>
      <w:bookmarkEnd w:id="25"/>
      <w:bookmarkEnd w:id="26"/>
      <w:bookmarkEnd w:id="27"/>
      <w:bookmarkEnd w:id="28"/>
      <w:bookmarkEnd w:id="29"/>
    </w:p>
    <w:p>
      <w:pPr>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（学科或专业代码：0701）</w:t>
      </w:r>
    </w:p>
    <w:p>
      <w:pPr>
        <w:spacing w:line="440" w:lineRule="exact"/>
        <w:ind w:firstLine="480"/>
        <w:rPr>
          <w:rFonts w:ascii="楷体_GB2312" w:hAnsi="宋体" w:eastAsia="楷体_GB2312"/>
          <w:i/>
          <w:iCs/>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40" w:lineRule="exact"/>
        <w:ind w:firstLine="480" w:firstLineChars="2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数学是研究数量、结构、变化以及空间模型等概念的一门学科。透过抽象化和逻辑推理的使用，由计数、计算、量度和对物体形状及运动的观察中产生</w:t>
      </w:r>
      <w:r>
        <w:rPr>
          <w:rFonts w:hint="eastAsia" w:ascii="宋体" w:hAnsi="宋体" w:cs="Arial"/>
          <w:color w:val="000000" w:themeColor="text1"/>
          <w:sz w:val="24"/>
          <w14:textFill>
            <w14:solidFill>
              <w14:schemeClr w14:val="tx1"/>
            </w14:solidFill>
          </w14:textFill>
        </w:rPr>
        <w:t>。</w:t>
      </w:r>
      <w:r>
        <w:rPr>
          <w:rFonts w:ascii="宋体" w:hAnsi="宋体" w:cs="Arial"/>
          <w:color w:val="000000" w:themeColor="text1"/>
          <w:sz w:val="24"/>
          <w14:textFill>
            <w14:solidFill>
              <w14:schemeClr w14:val="tx1"/>
            </w14:solidFill>
          </w14:textFill>
        </w:rPr>
        <w:t>作为人类思维的表达形式，</w:t>
      </w:r>
      <w:r>
        <w:rPr>
          <w:rFonts w:hint="eastAsia" w:ascii="宋体" w:hAnsi="宋体" w:cs="Arial"/>
          <w:color w:val="000000" w:themeColor="text1"/>
          <w:sz w:val="24"/>
          <w14:textFill>
            <w14:solidFill>
              <w14:schemeClr w14:val="tx1"/>
            </w14:solidFill>
          </w14:textFill>
        </w:rPr>
        <w:t>它</w:t>
      </w:r>
      <w:r>
        <w:rPr>
          <w:rFonts w:ascii="宋体" w:hAnsi="宋体" w:cs="Arial"/>
          <w:color w:val="000000" w:themeColor="text1"/>
          <w:sz w:val="24"/>
          <w14:textFill>
            <w14:solidFill>
              <w14:schemeClr w14:val="tx1"/>
            </w14:solidFill>
          </w14:textFill>
        </w:rPr>
        <w:t>反映了人们积极进取的意志、缜密周详的逻辑推理及对完美</w:t>
      </w:r>
      <w:r>
        <w:fldChar w:fldCharType="begin"/>
      </w:r>
      <w:r>
        <w:instrText xml:space="preserve"> HYPERLINK "http://baike.baidu.com/view/25705.htm" \t "_blank" </w:instrText>
      </w:r>
      <w:r>
        <w:fldChar w:fldCharType="separate"/>
      </w:r>
      <w:r>
        <w:rPr>
          <w:rFonts w:ascii="宋体" w:hAnsi="宋体" w:cs="Arial"/>
          <w:color w:val="000000" w:themeColor="text1"/>
          <w:sz w:val="24"/>
          <w14:textFill>
            <w14:solidFill>
              <w14:schemeClr w14:val="tx1"/>
            </w14:solidFill>
          </w14:textFill>
        </w:rPr>
        <w:t>境界</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的追求。它的基本要素是：</w:t>
      </w:r>
      <w:r>
        <w:fldChar w:fldCharType="begin"/>
      </w:r>
      <w:r>
        <w:instrText xml:space="preserve"> HYPERLINK "http://baike.baidu.com/view/1838.htm" \t "_blank" </w:instrText>
      </w:r>
      <w:r>
        <w:fldChar w:fldCharType="separate"/>
      </w:r>
      <w:r>
        <w:rPr>
          <w:rFonts w:ascii="宋体" w:hAnsi="宋体" w:cs="Arial"/>
          <w:color w:val="000000" w:themeColor="text1"/>
          <w:sz w:val="24"/>
          <w14:textFill>
            <w14:solidFill>
              <w14:schemeClr w14:val="tx1"/>
            </w14:solidFill>
          </w14:textFill>
        </w:rPr>
        <w:t>逻辑</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和</w:t>
      </w:r>
      <w:r>
        <w:fldChar w:fldCharType="begin"/>
      </w:r>
      <w:r>
        <w:instrText xml:space="preserve"> HYPERLINK "http://baike.baidu.com/view/52024.htm" \t "_blank" </w:instrText>
      </w:r>
      <w:r>
        <w:fldChar w:fldCharType="separate"/>
      </w:r>
      <w:r>
        <w:rPr>
          <w:rFonts w:ascii="宋体" w:hAnsi="宋体" w:cs="Arial"/>
          <w:color w:val="000000" w:themeColor="text1"/>
          <w:sz w:val="24"/>
          <w14:textFill>
            <w14:solidFill>
              <w14:schemeClr w14:val="tx1"/>
            </w14:solidFill>
          </w14:textFill>
        </w:rPr>
        <w:t>直观</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w:t>
      </w:r>
      <w:r>
        <w:fldChar w:fldCharType="begin"/>
      </w:r>
      <w:r>
        <w:instrText xml:space="preserve"> HYPERLINK "http://baike.baidu.com/view/239473.htm" \t "_blank" </w:instrText>
      </w:r>
      <w:r>
        <w:fldChar w:fldCharType="separate"/>
      </w:r>
      <w:r>
        <w:rPr>
          <w:rFonts w:ascii="宋体" w:hAnsi="宋体" w:cs="Arial"/>
          <w:color w:val="000000" w:themeColor="text1"/>
          <w:sz w:val="24"/>
          <w14:textFill>
            <w14:solidFill>
              <w14:schemeClr w14:val="tx1"/>
            </w14:solidFill>
          </w14:textFill>
        </w:rPr>
        <w:t>分析</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和</w:t>
      </w:r>
      <w:r>
        <w:fldChar w:fldCharType="begin"/>
      </w:r>
      <w:r>
        <w:instrText xml:space="preserve"> HYPERLINK "http://baike.baidu.com/view/105591.htm" \t "_blank" </w:instrText>
      </w:r>
      <w:r>
        <w:fldChar w:fldCharType="separate"/>
      </w:r>
      <w:r>
        <w:rPr>
          <w:rFonts w:ascii="宋体" w:hAnsi="宋体" w:cs="Arial"/>
          <w:color w:val="000000" w:themeColor="text1"/>
          <w:sz w:val="24"/>
          <w14:textFill>
            <w14:solidFill>
              <w14:schemeClr w14:val="tx1"/>
            </w14:solidFill>
          </w14:textFill>
        </w:rPr>
        <w:t>推理</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w:t>
      </w:r>
      <w:r>
        <w:fldChar w:fldCharType="begin"/>
      </w:r>
      <w:r>
        <w:instrText xml:space="preserve"> HYPERLINK "http://baike.baidu.com/view/57378.htm" \t "_blank" </w:instrText>
      </w:r>
      <w:r>
        <w:fldChar w:fldCharType="separate"/>
      </w:r>
      <w:r>
        <w:rPr>
          <w:rFonts w:ascii="宋体" w:hAnsi="宋体" w:cs="Arial"/>
          <w:color w:val="000000" w:themeColor="text1"/>
          <w:sz w:val="24"/>
          <w14:textFill>
            <w14:solidFill>
              <w14:schemeClr w14:val="tx1"/>
            </w14:solidFill>
          </w14:textFill>
        </w:rPr>
        <w:t>共性</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和</w:t>
      </w:r>
      <w:r>
        <w:fldChar w:fldCharType="begin"/>
      </w:r>
      <w:r>
        <w:instrText xml:space="preserve"> HYPERLINK "http://baike.baidu.com/view/4463.htm" \t "_blank" </w:instrText>
      </w:r>
      <w:r>
        <w:fldChar w:fldCharType="separate"/>
      </w:r>
      <w:r>
        <w:rPr>
          <w:rFonts w:ascii="宋体" w:hAnsi="宋体" w:cs="Arial"/>
          <w:color w:val="000000" w:themeColor="text1"/>
          <w:sz w:val="24"/>
          <w14:textFill>
            <w14:solidFill>
              <w14:schemeClr w14:val="tx1"/>
            </w14:solidFill>
          </w14:textFill>
        </w:rPr>
        <w:t>个性</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。虽然不同的学派可以强调不同的侧面，然而正是这些互相对立的力量的相互作用，以及它们综合起来的努力，才构成了数</w:t>
      </w:r>
      <w:r>
        <w:fldChar w:fldCharType="begin"/>
      </w:r>
      <w:r>
        <w:instrText xml:space="preserve"> HYPERLINK "http://baike.baidu.com/view/145919.htm" \t "_blank" </w:instrText>
      </w:r>
      <w:r>
        <w:fldChar w:fldCharType="separate"/>
      </w:r>
      <w:r>
        <w:rPr>
          <w:rFonts w:ascii="宋体" w:hAnsi="宋体" w:cs="Arial"/>
          <w:color w:val="000000" w:themeColor="text1"/>
          <w:sz w:val="24"/>
          <w14:textFill>
            <w14:solidFill>
              <w14:schemeClr w14:val="tx1"/>
            </w14:solidFill>
          </w14:textFill>
        </w:rPr>
        <w:t>学科</w:t>
      </w:r>
      <w:r>
        <w:rPr>
          <w:rFonts w:ascii="宋体" w:hAnsi="宋体" w:cs="Arial"/>
          <w:color w:val="000000" w:themeColor="text1"/>
          <w:sz w:val="24"/>
          <w14:textFill>
            <w14:solidFill>
              <w14:schemeClr w14:val="tx1"/>
            </w14:solidFill>
          </w14:textFill>
        </w:rPr>
        <w:fldChar w:fldCharType="end"/>
      </w:r>
      <w:r>
        <w:rPr>
          <w:rFonts w:ascii="宋体" w:hAnsi="宋体" w:cs="Arial"/>
          <w:color w:val="000000" w:themeColor="text1"/>
          <w:sz w:val="24"/>
          <w14:textFill>
            <w14:solidFill>
              <w14:schemeClr w14:val="tx1"/>
            </w14:solidFill>
          </w14:textFill>
        </w:rPr>
        <w:t>学的生命力、可用性和它的崇高价值。</w:t>
      </w:r>
    </w:p>
    <w:p>
      <w:pPr>
        <w:spacing w:line="440" w:lineRule="exact"/>
        <w:ind w:firstLine="480" w:firstLineChars="200"/>
        <w:rPr>
          <w:rFonts w:ascii="楷体_GB2312" w:hAnsi="宋体" w:eastAsia="楷体_GB2312"/>
          <w:i/>
          <w:iCs/>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本学科</w:t>
      </w:r>
      <w:r>
        <w:rPr>
          <w:rFonts w:ascii="宋体" w:hAnsi="宋体" w:cs="Arial"/>
          <w:color w:val="000000" w:themeColor="text1"/>
          <w:sz w:val="24"/>
          <w14:textFill>
            <w14:solidFill>
              <w14:schemeClr w14:val="tx1"/>
            </w14:solidFill>
          </w14:textFill>
        </w:rPr>
        <w:t>设有数学与应用数学、信息与计算科学两个本科专业，数学与应用数学专业是教育部高等学校国家级特色专业。拥有数学博士后科研流动工作站、数学一级博士学位授权点和数学一级硕士学位授权点，在基础数学、应用数学、概率论与数理统计、计算数学、运筹学与控制论等5个二级学科招收博生、硕士研究生；数学学科是甘肃省省级重点学科</w:t>
      </w:r>
      <w:r>
        <w:rPr>
          <w:rFonts w:hint="eastAsia" w:ascii="宋体" w:hAnsi="宋体" w:cs="Arial"/>
          <w:color w:val="000000" w:themeColor="text1"/>
          <w:sz w:val="24"/>
          <w14:textFill>
            <w14:solidFill>
              <w14:schemeClr w14:val="tx1"/>
            </w14:solidFill>
          </w14:textFill>
        </w:rPr>
        <w:t>。</w:t>
      </w:r>
    </w:p>
    <w:p>
      <w:pPr>
        <w:spacing w:line="440" w:lineRule="exact"/>
        <w:ind w:firstLine="48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r>
        <w:rPr>
          <w:rFonts w:hint="eastAsia" w:ascii="黑体" w:hAnsi="宋体" w:cs="宋体"/>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培</w:t>
      </w:r>
      <w:r>
        <w:rPr>
          <w:rFonts w:ascii="宋体" w:hAnsi="宋体" w:cs="Arial"/>
          <w:color w:val="000000" w:themeColor="text1"/>
          <w:sz w:val="24"/>
          <w14:textFill>
            <w14:solidFill>
              <w14:schemeClr w14:val="tx1"/>
            </w14:solidFill>
          </w14:textFill>
        </w:rPr>
        <w:t>养坚</w:t>
      </w:r>
      <w:r>
        <w:rPr>
          <w:rFonts w:hint="eastAsia" w:ascii="宋体" w:hAnsi="宋体" w:cs="Arial"/>
          <w:color w:val="000000" w:themeColor="text1"/>
          <w:sz w:val="24"/>
          <w14:textFill>
            <w14:solidFill>
              <w14:schemeClr w14:val="tx1"/>
            </w14:solidFill>
          </w14:textFill>
        </w:rPr>
        <w:t>持党的基本路</w:t>
      </w:r>
      <w:r>
        <w:rPr>
          <w:rFonts w:ascii="宋体" w:hAnsi="宋体" w:cs="Arial"/>
          <w:color w:val="000000" w:themeColor="text1"/>
          <w:sz w:val="24"/>
          <w14:textFill>
            <w14:solidFill>
              <w14:schemeClr w14:val="tx1"/>
            </w14:solidFill>
          </w14:textFill>
        </w:rPr>
        <w:t>线</w:t>
      </w:r>
      <w:r>
        <w:rPr>
          <w:rFonts w:hint="eastAsia" w:ascii="宋体" w:hAnsi="宋体" w:cs="Arial"/>
          <w:color w:val="000000" w:themeColor="text1"/>
          <w:sz w:val="24"/>
          <w14:textFill>
            <w14:solidFill>
              <w14:schemeClr w14:val="tx1"/>
            </w14:solidFill>
          </w14:textFill>
        </w:rPr>
        <w:t>，德智体全面</w:t>
      </w:r>
      <w:r>
        <w:rPr>
          <w:rFonts w:ascii="宋体" w:hAnsi="宋体" w:cs="Arial"/>
          <w:color w:val="000000" w:themeColor="text1"/>
          <w:sz w:val="24"/>
          <w14:textFill>
            <w14:solidFill>
              <w14:schemeClr w14:val="tx1"/>
            </w14:solidFill>
          </w14:textFill>
        </w:rPr>
        <w:t>发</w:t>
      </w:r>
      <w:r>
        <w:rPr>
          <w:rFonts w:hint="eastAsia" w:ascii="宋体" w:hAnsi="宋体" w:cs="Arial"/>
          <w:color w:val="000000" w:themeColor="text1"/>
          <w:sz w:val="24"/>
          <w14:textFill>
            <w14:solidFill>
              <w14:schemeClr w14:val="tx1"/>
            </w14:solidFill>
          </w14:textFill>
        </w:rPr>
        <w:t>展</w:t>
      </w:r>
      <w:r>
        <w:rPr>
          <w:rFonts w:ascii="宋体" w:hAnsi="宋体" w:cs="Arial"/>
          <w:color w:val="000000" w:themeColor="text1"/>
          <w:sz w:val="24"/>
          <w14:textFill>
            <w14:solidFill>
              <w14:schemeClr w14:val="tx1"/>
            </w14:solidFill>
          </w14:textFill>
        </w:rPr>
        <w:t>,</w:t>
      </w:r>
      <w:r>
        <w:rPr>
          <w:rFonts w:hint="eastAsia" w:ascii="宋体" w:hAnsi="宋体" w:cs="仿宋"/>
          <w:color w:val="000000" w:themeColor="text1"/>
          <w:szCs w:val="21"/>
          <w14:textFill>
            <w14:solidFill>
              <w14:schemeClr w14:val="tx1"/>
            </w14:solidFill>
          </w14:textFill>
        </w:rPr>
        <w:t xml:space="preserve"> </w:t>
      </w:r>
      <w:r>
        <w:rPr>
          <w:rFonts w:hint="eastAsia" w:ascii="宋体" w:hAnsi="宋体" w:cs="Arial"/>
          <w:color w:val="000000" w:themeColor="text1"/>
          <w:sz w:val="24"/>
          <w14:textFill>
            <w14:solidFill>
              <w14:schemeClr w14:val="tx1"/>
            </w14:solidFill>
          </w14:textFill>
        </w:rPr>
        <w:t>掌握宽广的</w:t>
      </w:r>
      <w:r>
        <w:rPr>
          <w:rFonts w:ascii="宋体" w:hAnsi="宋体" w:cs="Arial"/>
          <w:color w:val="000000" w:themeColor="text1"/>
          <w:sz w:val="24"/>
          <w14:textFill>
            <w14:solidFill>
              <w14:schemeClr w14:val="tx1"/>
            </w14:solidFill>
          </w14:textFill>
        </w:rPr>
        <w:t>数学</w:t>
      </w:r>
      <w:r>
        <w:rPr>
          <w:rFonts w:hint="eastAsia" w:ascii="宋体" w:hAnsi="宋体" w:cs="Arial"/>
          <w:color w:val="000000" w:themeColor="text1"/>
          <w:sz w:val="24"/>
          <w14:textFill>
            <w14:solidFill>
              <w14:schemeClr w14:val="tx1"/>
            </w14:solidFill>
          </w14:textFill>
        </w:rPr>
        <w:t>基</w:t>
      </w:r>
      <w:r>
        <w:rPr>
          <w:rFonts w:ascii="宋体" w:hAnsi="宋体" w:cs="Arial"/>
          <w:color w:val="000000" w:themeColor="text1"/>
          <w:sz w:val="24"/>
          <w14:textFill>
            <w14:solidFill>
              <w14:schemeClr w14:val="tx1"/>
            </w14:solidFill>
          </w14:textFill>
        </w:rPr>
        <w:t>础理论</w:t>
      </w:r>
      <w:r>
        <w:rPr>
          <w:rFonts w:hint="eastAsia" w:ascii="宋体" w:hAnsi="宋体" w:cs="Arial"/>
          <w:color w:val="000000" w:themeColor="text1"/>
          <w:sz w:val="24"/>
          <w14:textFill>
            <w14:solidFill>
              <w14:schemeClr w14:val="tx1"/>
            </w14:solidFill>
          </w14:textFill>
        </w:rPr>
        <w:t>和较系</w:t>
      </w:r>
      <w:r>
        <w:rPr>
          <w:rFonts w:ascii="宋体" w:hAnsi="宋体" w:cs="Arial"/>
          <w:color w:val="000000" w:themeColor="text1"/>
          <w:sz w:val="24"/>
          <w14:textFill>
            <w14:solidFill>
              <w14:schemeClr w14:val="tx1"/>
            </w14:solidFill>
          </w14:textFill>
        </w:rPr>
        <w:t>统深</w:t>
      </w:r>
      <w:r>
        <w:rPr>
          <w:rFonts w:hint="eastAsia" w:ascii="宋体" w:hAnsi="宋体" w:cs="Arial"/>
          <w:color w:val="000000" w:themeColor="text1"/>
          <w:sz w:val="24"/>
          <w14:textFill>
            <w14:solidFill>
              <w14:schemeClr w14:val="tx1"/>
            </w14:solidFill>
          </w14:textFill>
        </w:rPr>
        <w:t>入的</w:t>
      </w:r>
      <w:r>
        <w:rPr>
          <w:rFonts w:ascii="宋体" w:hAnsi="宋体" w:cs="Arial"/>
          <w:color w:val="000000" w:themeColor="text1"/>
          <w:sz w:val="24"/>
          <w14:textFill>
            <w14:solidFill>
              <w14:schemeClr w14:val="tx1"/>
            </w14:solidFill>
          </w14:textFill>
        </w:rPr>
        <w:t>数学专门</w:t>
      </w:r>
      <w:r>
        <w:rPr>
          <w:rFonts w:hint="eastAsia" w:ascii="宋体" w:hAnsi="宋体" w:cs="Arial"/>
          <w:color w:val="000000" w:themeColor="text1"/>
          <w:sz w:val="24"/>
          <w14:textFill>
            <w14:solidFill>
              <w14:schemeClr w14:val="tx1"/>
            </w14:solidFill>
          </w14:textFill>
        </w:rPr>
        <w:t>知</w:t>
      </w:r>
      <w:r>
        <w:rPr>
          <w:rFonts w:ascii="宋体" w:hAnsi="宋体" w:cs="Arial"/>
          <w:color w:val="000000" w:themeColor="text1"/>
          <w:sz w:val="24"/>
          <w14:textFill>
            <w14:solidFill>
              <w14:schemeClr w14:val="tx1"/>
            </w14:solidFill>
          </w14:textFill>
        </w:rPr>
        <w:t>识</w:t>
      </w:r>
      <w:r>
        <w:rPr>
          <w:rFonts w:hint="eastAsia" w:ascii="宋体" w:hAnsi="宋体" w:cs="Arial"/>
          <w:color w:val="000000" w:themeColor="text1"/>
          <w:sz w:val="24"/>
          <w14:textFill>
            <w14:solidFill>
              <w14:schemeClr w14:val="tx1"/>
            </w14:solidFill>
          </w14:textFill>
        </w:rPr>
        <w:t>，具有独立从事科学研究能力的数学工作者、合格的数学教师及其它领域的应用型人才。</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40" w:lineRule="exact"/>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本专业的</w:t>
      </w:r>
      <w:r>
        <w:rPr>
          <w:rFonts w:hint="eastAsia" w:ascii="宋体" w:hAnsi="宋体"/>
          <w:color w:val="000000" w:themeColor="text1"/>
          <w:kern w:val="0"/>
          <w:sz w:val="24"/>
          <w14:textFill>
            <w14:solidFill>
              <w14:schemeClr w14:val="tx1"/>
            </w14:solidFill>
          </w14:textFill>
        </w:rPr>
        <w:t>硕</w:t>
      </w:r>
      <w:r>
        <w:rPr>
          <w:rFonts w:ascii="宋体" w:hAnsi="宋体" w:cs="宋体"/>
          <w:color w:val="000000" w:themeColor="text1"/>
          <w:kern w:val="0"/>
          <w:sz w:val="24"/>
          <w14:textFill>
            <w14:solidFill>
              <w14:schemeClr w14:val="tx1"/>
            </w14:solidFill>
          </w14:textFill>
        </w:rPr>
        <w:t>士研究生培养</w:t>
      </w:r>
      <w:r>
        <w:rPr>
          <w:rFonts w:hint="eastAsia" w:ascii="宋体" w:hAnsi="宋体"/>
          <w:color w:val="000000" w:themeColor="text1"/>
          <w:kern w:val="0"/>
          <w:sz w:val="24"/>
          <w14:textFill>
            <w14:solidFill>
              <w14:schemeClr w14:val="tx1"/>
            </w14:solidFill>
          </w14:textFill>
        </w:rPr>
        <w:t>采取导师负责制度。同时提倡建立以导师为主的指导小</w:t>
      </w:r>
      <w:r>
        <w:rPr>
          <w:rFonts w:hint="eastAsia" w:ascii="宋体" w:hAnsi="宋体"/>
          <w:color w:val="000000" w:themeColor="text1"/>
          <w:sz w:val="24"/>
          <w14:textFill>
            <w14:solidFill>
              <w14:schemeClr w14:val="tx1"/>
            </w14:solidFill>
          </w14:textFill>
        </w:rPr>
        <w:t>组，</w:t>
      </w:r>
      <w:r>
        <w:rPr>
          <w:rFonts w:hint="eastAsia" w:ascii="宋体" w:hAnsi="宋体"/>
          <w:color w:val="000000" w:themeColor="text1"/>
          <w:kern w:val="0"/>
          <w:sz w:val="24"/>
          <w14:textFill>
            <w14:solidFill>
              <w14:schemeClr w14:val="tx1"/>
            </w14:solidFill>
          </w14:textFill>
        </w:rPr>
        <w:t>发挥集体指导的优势。硕士研究生的培养以</w:t>
      </w:r>
      <w:r>
        <w:rPr>
          <w:rFonts w:ascii="宋体" w:hAnsi="宋体" w:cs="宋体"/>
          <w:color w:val="000000" w:themeColor="text1"/>
          <w:kern w:val="0"/>
          <w:sz w:val="24"/>
          <w14:textFill>
            <w14:solidFill>
              <w14:schemeClr w14:val="tx1"/>
            </w14:solidFill>
          </w14:textFill>
        </w:rPr>
        <w:t>学</w:t>
      </w:r>
      <w:r>
        <w:rPr>
          <w:rFonts w:hint="eastAsia" w:ascii="宋体" w:hAnsi="宋体"/>
          <w:color w:val="000000" w:themeColor="text1"/>
          <w:kern w:val="0"/>
          <w:sz w:val="24"/>
          <w14:textFill>
            <w14:solidFill>
              <w14:schemeClr w14:val="tx1"/>
            </w14:solidFill>
          </w14:textFill>
        </w:rPr>
        <w:t>科基</w:t>
      </w:r>
      <w:r>
        <w:rPr>
          <w:rFonts w:ascii="宋体" w:hAnsi="宋体" w:cs="宋体"/>
          <w:color w:val="000000" w:themeColor="text1"/>
          <w:kern w:val="0"/>
          <w:sz w:val="24"/>
          <w14:textFill>
            <w14:solidFill>
              <w14:schemeClr w14:val="tx1"/>
            </w14:solidFill>
          </w14:textFill>
        </w:rPr>
        <w:t>础</w:t>
      </w:r>
      <w:r>
        <w:rPr>
          <w:rFonts w:hint="eastAsia" w:ascii="宋体" w:hAnsi="宋体"/>
          <w:color w:val="000000" w:themeColor="text1"/>
          <w:kern w:val="0"/>
          <w:sz w:val="24"/>
          <w14:textFill>
            <w14:solidFill>
              <w14:schemeClr w14:val="tx1"/>
            </w14:solidFill>
          </w14:textFill>
        </w:rPr>
        <w:t>知</w:t>
      </w:r>
      <w:r>
        <w:rPr>
          <w:rFonts w:ascii="宋体" w:hAnsi="宋体" w:cs="宋体"/>
          <w:color w:val="000000" w:themeColor="text1"/>
          <w:kern w:val="0"/>
          <w:sz w:val="24"/>
          <w14:textFill>
            <w14:solidFill>
              <w14:schemeClr w14:val="tx1"/>
            </w14:solidFill>
          </w14:textFill>
        </w:rPr>
        <w:t>识为</w:t>
      </w:r>
      <w:r>
        <w:rPr>
          <w:rFonts w:hint="eastAsia" w:ascii="宋体" w:hAnsi="宋体"/>
          <w:color w:val="000000" w:themeColor="text1"/>
          <w:kern w:val="0"/>
          <w:sz w:val="24"/>
          <w14:textFill>
            <w14:solidFill>
              <w14:schemeClr w14:val="tx1"/>
            </w14:solidFill>
          </w14:textFill>
        </w:rPr>
        <w:t>主，重</w:t>
      </w:r>
      <w:r>
        <w:rPr>
          <w:rFonts w:ascii="宋体" w:hAnsi="宋体" w:cs="宋体"/>
          <w:color w:val="000000" w:themeColor="text1"/>
          <w:kern w:val="0"/>
          <w:sz w:val="24"/>
          <w14:textFill>
            <w14:solidFill>
              <w14:schemeClr w14:val="tx1"/>
            </w14:solidFill>
          </w14:textFill>
        </w:rPr>
        <w:t>点</w:t>
      </w:r>
      <w:r>
        <w:rPr>
          <w:rFonts w:hint="eastAsia" w:ascii="宋体" w:hAnsi="宋体"/>
          <w:color w:val="000000" w:themeColor="text1"/>
          <w:kern w:val="0"/>
          <w:sz w:val="24"/>
          <w14:textFill>
            <w14:solidFill>
              <w14:schemeClr w14:val="tx1"/>
            </w14:solidFill>
          </w14:textFill>
        </w:rPr>
        <w:t>是夯</w:t>
      </w:r>
      <w:r>
        <w:rPr>
          <w:rFonts w:ascii="宋体" w:hAnsi="宋体" w:cs="宋体"/>
          <w:color w:val="000000" w:themeColor="text1"/>
          <w:kern w:val="0"/>
          <w:sz w:val="24"/>
          <w14:textFill>
            <w14:solidFill>
              <w14:schemeClr w14:val="tx1"/>
            </w14:solidFill>
          </w14:textFill>
        </w:rPr>
        <w:t>实学</w:t>
      </w:r>
      <w:r>
        <w:rPr>
          <w:rFonts w:hint="eastAsia" w:ascii="宋体" w:hAnsi="宋体"/>
          <w:color w:val="000000" w:themeColor="text1"/>
          <w:kern w:val="0"/>
          <w:sz w:val="24"/>
          <w14:textFill>
            <w14:solidFill>
              <w14:schemeClr w14:val="tx1"/>
            </w14:solidFill>
          </w14:textFill>
        </w:rPr>
        <w:t>生的基</w:t>
      </w:r>
      <w:r>
        <w:rPr>
          <w:rFonts w:ascii="宋体" w:hAnsi="宋体" w:cs="宋体"/>
          <w:color w:val="000000" w:themeColor="text1"/>
          <w:kern w:val="0"/>
          <w:sz w:val="24"/>
          <w14:textFill>
            <w14:solidFill>
              <w14:schemeClr w14:val="tx1"/>
            </w14:solidFill>
          </w14:textFill>
        </w:rPr>
        <w:t>础</w:t>
      </w:r>
      <w:r>
        <w:rPr>
          <w:rFonts w:hint="eastAsia" w:ascii="宋体" w:hAnsi="宋体"/>
          <w:color w:val="000000" w:themeColor="text1"/>
          <w:kern w:val="0"/>
          <w:sz w:val="24"/>
          <w14:textFill>
            <w14:solidFill>
              <w14:schemeClr w14:val="tx1"/>
            </w14:solidFill>
          </w14:textFill>
        </w:rPr>
        <w:t>并培</w:t>
      </w:r>
      <w:r>
        <w:rPr>
          <w:rFonts w:ascii="宋体" w:hAnsi="宋体" w:cs="宋体"/>
          <w:color w:val="000000" w:themeColor="text1"/>
          <w:kern w:val="0"/>
          <w:sz w:val="24"/>
          <w14:textFill>
            <w14:solidFill>
              <w14:schemeClr w14:val="tx1"/>
            </w14:solidFill>
          </w14:textFill>
        </w:rPr>
        <w:t>养</w:t>
      </w:r>
      <w:r>
        <w:rPr>
          <w:rFonts w:hint="eastAsia" w:ascii="宋体" w:hAnsi="宋体"/>
          <w:color w:val="000000" w:themeColor="text1"/>
          <w:kern w:val="0"/>
          <w:sz w:val="24"/>
          <w14:textFill>
            <w14:solidFill>
              <w14:schemeClr w14:val="tx1"/>
            </w14:solidFill>
          </w14:textFill>
        </w:rPr>
        <w:t>一定</w:t>
      </w:r>
      <w:r>
        <w:rPr>
          <w:rFonts w:ascii="宋体" w:hAnsi="宋体" w:cs="宋体"/>
          <w:color w:val="000000" w:themeColor="text1"/>
          <w:kern w:val="0"/>
          <w:sz w:val="24"/>
          <w14:textFill>
            <w14:solidFill>
              <w14:schemeClr w14:val="tx1"/>
            </w14:solidFill>
          </w14:textFill>
        </w:rPr>
        <w:t>独</w:t>
      </w:r>
      <w:r>
        <w:rPr>
          <w:rFonts w:hint="eastAsia" w:ascii="宋体" w:hAnsi="宋体"/>
          <w:color w:val="000000" w:themeColor="text1"/>
          <w:kern w:val="0"/>
          <w:sz w:val="24"/>
          <w14:textFill>
            <w14:solidFill>
              <w14:schemeClr w14:val="tx1"/>
            </w14:solidFill>
          </w14:textFill>
        </w:rPr>
        <w:t>立</w:t>
      </w:r>
      <w:r>
        <w:rPr>
          <w:rFonts w:ascii="宋体" w:hAnsi="宋体" w:cs="宋体"/>
          <w:color w:val="000000" w:themeColor="text1"/>
          <w:kern w:val="0"/>
          <w:sz w:val="24"/>
          <w14:textFill>
            <w14:solidFill>
              <w14:schemeClr w14:val="tx1"/>
            </w14:solidFill>
          </w14:textFill>
        </w:rPr>
        <w:t>从</w:t>
      </w:r>
      <w:r>
        <w:rPr>
          <w:rFonts w:hint="eastAsia" w:ascii="宋体" w:hAnsi="宋体"/>
          <w:color w:val="000000" w:themeColor="text1"/>
          <w:kern w:val="0"/>
          <w:sz w:val="24"/>
          <w14:textFill>
            <w14:solidFill>
              <w14:schemeClr w14:val="tx1"/>
            </w14:solidFill>
          </w14:textFill>
        </w:rPr>
        <w:t>事科</w:t>
      </w:r>
      <w:r>
        <w:rPr>
          <w:rFonts w:ascii="宋体" w:hAnsi="宋体" w:cs="宋体"/>
          <w:color w:val="000000" w:themeColor="text1"/>
          <w:kern w:val="0"/>
          <w:sz w:val="24"/>
          <w14:textFill>
            <w14:solidFill>
              <w14:schemeClr w14:val="tx1"/>
            </w14:solidFill>
          </w14:textFill>
        </w:rPr>
        <w:t>学</w:t>
      </w:r>
      <w:r>
        <w:rPr>
          <w:rFonts w:hint="eastAsia" w:ascii="宋体" w:hAnsi="宋体"/>
          <w:color w:val="000000" w:themeColor="text1"/>
          <w:kern w:val="0"/>
          <w:sz w:val="24"/>
          <w14:textFill>
            <w14:solidFill>
              <w14:schemeClr w14:val="tx1"/>
            </w14:solidFill>
          </w14:textFill>
        </w:rPr>
        <w:t>研究工作的能力。授课采用</w:t>
      </w:r>
      <w:r>
        <w:rPr>
          <w:rFonts w:ascii="宋体" w:hAnsi="宋体" w:cs="宋体"/>
          <w:color w:val="000000" w:themeColor="text1"/>
          <w:kern w:val="0"/>
          <w:sz w:val="24"/>
          <w14:textFill>
            <w14:solidFill>
              <w14:schemeClr w14:val="tx1"/>
            </w14:solidFill>
          </w14:textFill>
        </w:rPr>
        <w:t>启发式、研讨式的教学方式</w:t>
      </w:r>
      <w:r>
        <w:rPr>
          <w:rFonts w:hint="eastAsia" w:ascii="宋体" w:hAnsi="宋体"/>
          <w:color w:val="000000" w:themeColor="text1"/>
          <w:kern w:val="0"/>
          <w:sz w:val="24"/>
          <w14:textFill>
            <w14:solidFill>
              <w14:schemeClr w14:val="tx1"/>
            </w14:solidFill>
          </w14:textFill>
        </w:rPr>
        <w:t>。硕士生</w:t>
      </w:r>
      <w:r>
        <w:rPr>
          <w:rFonts w:ascii="宋体" w:hAnsi="宋体" w:cs="宋体"/>
          <w:color w:val="000000" w:themeColor="text1"/>
          <w:kern w:val="0"/>
          <w:sz w:val="24"/>
          <w14:textFill>
            <w14:solidFill>
              <w14:schemeClr w14:val="tx1"/>
            </w14:solidFill>
          </w14:textFill>
        </w:rPr>
        <w:t>通过参加必要的学术讲座、讨论班等学术活动来增加</w:t>
      </w:r>
      <w:r>
        <w:rPr>
          <w:rFonts w:hint="eastAsia" w:ascii="宋体" w:hAnsi="宋体"/>
          <w:color w:val="000000" w:themeColor="text1"/>
          <w:kern w:val="0"/>
          <w:sz w:val="24"/>
          <w14:textFill>
            <w14:solidFill>
              <w14:schemeClr w14:val="tx1"/>
            </w14:solidFill>
          </w14:textFill>
        </w:rPr>
        <w:t>和拓展</w:t>
      </w:r>
      <w:r>
        <w:rPr>
          <w:rFonts w:ascii="宋体" w:hAnsi="宋体" w:cs="宋体"/>
          <w:color w:val="000000" w:themeColor="text1"/>
          <w:kern w:val="0"/>
          <w:sz w:val="24"/>
          <w14:textFill>
            <w14:solidFill>
              <w14:schemeClr w14:val="tx1"/>
            </w14:solidFill>
          </w14:textFill>
        </w:rPr>
        <w:t>自己的理论基础知识，提高自己的自学能力和创新能力</w:t>
      </w:r>
      <w:r>
        <w:rPr>
          <w:rFonts w:hint="eastAsia" w:ascii="宋体" w:hAnsi="宋体"/>
          <w:color w:val="000000" w:themeColor="text1"/>
          <w:kern w:val="0"/>
          <w:sz w:val="24"/>
          <w14:textFill>
            <w14:solidFill>
              <w14:schemeClr w14:val="tx1"/>
            </w14:solidFill>
          </w14:textFill>
        </w:rPr>
        <w:t>以及</w:t>
      </w:r>
      <w:r>
        <w:rPr>
          <w:rFonts w:ascii="宋体" w:hAnsi="宋体" w:cs="宋体"/>
          <w:color w:val="000000" w:themeColor="text1"/>
          <w:kern w:val="0"/>
          <w:sz w:val="24"/>
          <w14:textFill>
            <w14:solidFill>
              <w14:schemeClr w14:val="tx1"/>
            </w14:solidFill>
          </w14:textFill>
        </w:rPr>
        <w:t>严谨的科学作风。</w:t>
      </w:r>
    </w:p>
    <w:p>
      <w:pPr>
        <w:spacing w:line="44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四、学制及学习年限</w:t>
      </w:r>
      <w:r>
        <w:rPr>
          <w:rFonts w:hint="eastAsia" w:ascii="宋体" w:hAnsi="宋体" w:cs="宋体"/>
          <w:color w:val="000000" w:themeColor="text1"/>
          <w:sz w:val="24"/>
          <w14:textFill>
            <w14:solidFill>
              <w14:schemeClr w14:val="tx1"/>
            </w14:solidFill>
          </w14:textFill>
        </w:rPr>
        <w:t></w:t>
      </w:r>
    </w:p>
    <w:p>
      <w:pPr>
        <w:spacing w:line="440" w:lineRule="exact"/>
        <w:ind w:firstLine="480"/>
        <w:rPr>
          <w:rFonts w:ascii="黑体" w:eastAsia="黑体"/>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数学学</w:t>
      </w:r>
      <w:r>
        <w:rPr>
          <w:rFonts w:hint="eastAsia" w:ascii="宋体" w:hAnsi="宋体" w:cs="Arial"/>
          <w:color w:val="000000" w:themeColor="text1"/>
          <w:sz w:val="24"/>
          <w14:textFill>
            <w14:solidFill>
              <w14:schemeClr w14:val="tx1"/>
            </w14:solidFill>
          </w14:textFill>
        </w:rPr>
        <w:t>科</w:t>
      </w:r>
      <w:r>
        <w:rPr>
          <w:rFonts w:ascii="宋体" w:hAnsi="宋体" w:cs="Arial"/>
          <w:color w:val="000000" w:themeColor="text1"/>
          <w:sz w:val="24"/>
          <w14:textFill>
            <w14:solidFill>
              <w14:schemeClr w14:val="tx1"/>
            </w14:solidFill>
          </w14:textFill>
        </w:rPr>
        <w:t>硕</w:t>
      </w:r>
      <w:r>
        <w:rPr>
          <w:rFonts w:hint="eastAsia" w:ascii="宋体" w:hAnsi="宋体" w:cs="Arial"/>
          <w:color w:val="000000" w:themeColor="text1"/>
          <w:sz w:val="24"/>
          <w14:textFill>
            <w14:solidFill>
              <w14:schemeClr w14:val="tx1"/>
            </w14:solidFill>
          </w14:textFill>
        </w:rPr>
        <w:t>士研究生</w:t>
      </w:r>
      <w:r>
        <w:rPr>
          <w:rFonts w:hint="eastAsia" w:ascii="宋体" w:hAnsi="宋体"/>
          <w:color w:val="000000" w:themeColor="text1"/>
          <w:kern w:val="0"/>
          <w:sz w:val="24"/>
          <w14:textFill>
            <w14:solidFill>
              <w14:schemeClr w14:val="tx1"/>
            </w14:solidFill>
          </w14:textFill>
        </w:rPr>
        <w:t>基本学制</w:t>
      </w:r>
      <w:r>
        <w:rPr>
          <w:rFonts w:ascii="宋体" w:hAnsi="宋体" w:cs="Arial"/>
          <w:color w:val="000000" w:themeColor="text1"/>
          <w:sz w:val="24"/>
          <w14:textFill>
            <w14:solidFill>
              <w14:schemeClr w14:val="tx1"/>
            </w14:solidFill>
          </w14:textFill>
        </w:rPr>
        <w:t>3</w:t>
      </w:r>
      <w:r>
        <w:rPr>
          <w:rFonts w:hint="eastAsia" w:ascii="宋体" w:hAnsi="宋体" w:cs="Arial"/>
          <w:color w:val="000000" w:themeColor="text1"/>
          <w:sz w:val="24"/>
          <w14:textFill>
            <w14:solidFill>
              <w14:schemeClr w14:val="tx1"/>
            </w14:solidFill>
          </w14:textFill>
        </w:rPr>
        <w:t>年，最长学习年限5年。</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1.基</w:t>
      </w:r>
      <w:r>
        <w:rPr>
          <w:rFonts w:ascii="宋体" w:hAnsi="宋体" w:cs="Arial"/>
          <w:color w:val="000000" w:themeColor="text1"/>
          <w:sz w:val="24"/>
          <w14:textFill>
            <w14:solidFill>
              <w14:schemeClr w14:val="tx1"/>
            </w14:solidFill>
          </w14:textFill>
        </w:rPr>
        <w:t>础数学</w:t>
      </w:r>
    </w:p>
    <w:p>
      <w:pPr>
        <w:spacing w:line="480" w:lineRule="exact"/>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2.</w:t>
      </w:r>
      <w:r>
        <w:rPr>
          <w:rFonts w:ascii="宋体" w:hAnsi="宋体" w:cs="Arial"/>
          <w:color w:val="000000" w:themeColor="text1"/>
          <w:sz w:val="24"/>
          <w14:textFill>
            <w14:solidFill>
              <w14:schemeClr w14:val="tx1"/>
            </w14:solidFill>
          </w14:textFill>
        </w:rPr>
        <w:t>计</w:t>
      </w:r>
      <w:r>
        <w:rPr>
          <w:rFonts w:hint="eastAsia" w:ascii="宋体" w:hAnsi="宋体" w:cs="Arial"/>
          <w:color w:val="000000" w:themeColor="text1"/>
          <w:sz w:val="24"/>
          <w14:textFill>
            <w14:solidFill>
              <w14:schemeClr w14:val="tx1"/>
            </w14:solidFill>
          </w14:textFill>
        </w:rPr>
        <w:t>算</w:t>
      </w:r>
      <w:r>
        <w:rPr>
          <w:rFonts w:ascii="宋体" w:hAnsi="宋体" w:cs="Arial"/>
          <w:color w:val="000000" w:themeColor="text1"/>
          <w:sz w:val="24"/>
          <w14:textFill>
            <w14:solidFill>
              <w14:schemeClr w14:val="tx1"/>
            </w14:solidFill>
          </w14:textFill>
        </w:rPr>
        <w:t>数学</w:t>
      </w:r>
    </w:p>
    <w:p>
      <w:pPr>
        <w:spacing w:line="480" w:lineRule="exact"/>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应用数学</w:t>
      </w:r>
    </w:p>
    <w:p>
      <w:pPr>
        <w:spacing w:line="480" w:lineRule="exact"/>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4.概率</w:t>
      </w:r>
      <w:r>
        <w:rPr>
          <w:rFonts w:ascii="宋体" w:hAnsi="宋体" w:cs="Arial"/>
          <w:color w:val="000000" w:themeColor="text1"/>
          <w:sz w:val="24"/>
          <w14:textFill>
            <w14:solidFill>
              <w14:schemeClr w14:val="tx1"/>
            </w14:solidFill>
          </w14:textFill>
        </w:rPr>
        <w:t>论</w:t>
      </w:r>
      <w:r>
        <w:rPr>
          <w:rFonts w:hint="eastAsia" w:ascii="宋体" w:hAnsi="宋体" w:cs="Arial"/>
          <w:color w:val="000000" w:themeColor="text1"/>
          <w:sz w:val="24"/>
          <w14:textFill>
            <w14:solidFill>
              <w14:schemeClr w14:val="tx1"/>
            </w14:solidFill>
          </w14:textFill>
        </w:rPr>
        <w:t>与</w:t>
      </w:r>
      <w:r>
        <w:rPr>
          <w:rFonts w:ascii="宋体" w:hAnsi="宋体" w:cs="Arial"/>
          <w:color w:val="000000" w:themeColor="text1"/>
          <w:sz w:val="24"/>
          <w14:textFill>
            <w14:solidFill>
              <w14:schemeClr w14:val="tx1"/>
            </w14:solidFill>
          </w14:textFill>
        </w:rPr>
        <w:t>数</w:t>
      </w:r>
      <w:r>
        <w:rPr>
          <w:rFonts w:hint="eastAsia" w:ascii="宋体" w:hAnsi="宋体" w:cs="Arial"/>
          <w:color w:val="000000" w:themeColor="text1"/>
          <w:sz w:val="24"/>
          <w14:textFill>
            <w14:solidFill>
              <w14:schemeClr w14:val="tx1"/>
            </w14:solidFill>
          </w14:textFill>
        </w:rPr>
        <w:t>理</w:t>
      </w:r>
      <w:r>
        <w:rPr>
          <w:rFonts w:ascii="宋体" w:hAnsi="宋体" w:cs="Arial"/>
          <w:color w:val="000000" w:themeColor="text1"/>
          <w:sz w:val="24"/>
          <w14:textFill>
            <w14:solidFill>
              <w14:schemeClr w14:val="tx1"/>
            </w14:solidFill>
          </w14:textFill>
        </w:rPr>
        <w:t>统计</w:t>
      </w:r>
    </w:p>
    <w:p>
      <w:pPr>
        <w:spacing w:line="480" w:lineRule="exact"/>
        <w:ind w:firstLine="480"/>
        <w:rPr>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5.运筹学与控制论</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六、学分要求</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总学分不低于</w:t>
      </w:r>
      <w:r>
        <w:rPr>
          <w:rFonts w:ascii="宋体" w:hAnsi="宋体" w:cs="Arial"/>
          <w:color w:val="000000" w:themeColor="text1"/>
          <w:sz w:val="24"/>
          <w14:textFill>
            <w14:solidFill>
              <w14:schemeClr w14:val="tx1"/>
            </w14:solidFill>
          </w14:textFill>
        </w:rPr>
        <w:t>35</w:t>
      </w:r>
      <w:r>
        <w:rPr>
          <w:rFonts w:hint="eastAsia" w:ascii="宋体" w:hAnsi="宋体" w:cs="Arial"/>
          <w:color w:val="000000" w:themeColor="text1"/>
          <w:sz w:val="24"/>
          <w14:textFill>
            <w14:solidFill>
              <w14:schemeClr w14:val="tx1"/>
            </w14:solidFill>
          </w14:textFill>
        </w:rPr>
        <w:t>学分，其中</w:t>
      </w:r>
      <w:r>
        <w:rPr>
          <w:rFonts w:ascii="宋体" w:hAnsi="宋体" w:cs="Arial"/>
          <w:color w:val="000000" w:themeColor="text1"/>
          <w:sz w:val="24"/>
          <w14:textFill>
            <w14:solidFill>
              <w14:schemeClr w14:val="tx1"/>
            </w14:solidFill>
          </w14:textFill>
        </w:rPr>
        <w:t>课</w:t>
      </w:r>
      <w:r>
        <w:rPr>
          <w:rFonts w:hint="eastAsia" w:ascii="宋体" w:hAnsi="宋体" w:cs="Arial"/>
          <w:color w:val="000000" w:themeColor="text1"/>
          <w:sz w:val="24"/>
          <w14:textFill>
            <w14:solidFill>
              <w14:schemeClr w14:val="tx1"/>
            </w14:solidFill>
          </w14:textFill>
        </w:rPr>
        <w:t>程</w:t>
      </w:r>
      <w:r>
        <w:rPr>
          <w:rFonts w:ascii="宋体" w:hAnsi="宋体" w:cs="Arial"/>
          <w:color w:val="000000" w:themeColor="text1"/>
          <w:sz w:val="24"/>
          <w14:textFill>
            <w14:solidFill>
              <w14:schemeClr w14:val="tx1"/>
            </w14:solidFill>
          </w14:textFill>
        </w:rPr>
        <w:t>学习3</w:t>
      </w:r>
      <w:r>
        <w:rPr>
          <w:rFonts w:hint="eastAsia" w:ascii="宋体" w:hAnsi="宋体" w:cs="Arial"/>
          <w:color w:val="000000" w:themeColor="text1"/>
          <w:sz w:val="24"/>
          <w14:textFill>
            <w14:solidFill>
              <w14:schemeClr w14:val="tx1"/>
            </w14:solidFill>
          </w14:textFill>
        </w:rPr>
        <w:t>3</w:t>
      </w:r>
      <w:r>
        <w:rPr>
          <w:rFonts w:ascii="宋体" w:hAnsi="宋体" w:cs="Arial"/>
          <w:color w:val="000000" w:themeColor="text1"/>
          <w:sz w:val="24"/>
          <w14:textFill>
            <w14:solidFill>
              <w14:schemeClr w14:val="tx1"/>
            </w14:solidFill>
          </w14:textFill>
        </w:rPr>
        <w:t>学</w:t>
      </w:r>
      <w:r>
        <w:rPr>
          <w:rFonts w:hint="eastAsia" w:ascii="宋体" w:hAnsi="宋体" w:cs="Arial"/>
          <w:color w:val="000000" w:themeColor="text1"/>
          <w:sz w:val="24"/>
          <w14:textFill>
            <w14:solidFill>
              <w14:schemeClr w14:val="tx1"/>
            </w14:solidFill>
          </w14:textFill>
        </w:rPr>
        <w:t>分，</w:t>
      </w:r>
      <w:r>
        <w:rPr>
          <w:rFonts w:ascii="宋体" w:hAnsi="宋体" w:cs="Arial"/>
          <w:color w:val="000000" w:themeColor="text1"/>
          <w:sz w:val="24"/>
          <w14:textFill>
            <w14:solidFill>
              <w14:schemeClr w14:val="tx1"/>
            </w14:solidFill>
          </w14:textFill>
        </w:rPr>
        <w:t>实践环节</w:t>
      </w:r>
      <w:r>
        <w:rPr>
          <w:rFonts w:hint="eastAsia" w:ascii="宋体" w:hAnsi="宋体" w:cs="Arial"/>
          <w:color w:val="000000" w:themeColor="text1"/>
          <w:sz w:val="24"/>
          <w14:textFill>
            <w14:solidFill>
              <w14:schemeClr w14:val="tx1"/>
            </w14:solidFill>
          </w14:textFill>
        </w:rPr>
        <w:t>2</w:t>
      </w:r>
      <w:r>
        <w:rPr>
          <w:rFonts w:ascii="宋体" w:hAnsi="宋体" w:cs="Arial"/>
          <w:color w:val="000000" w:themeColor="text1"/>
          <w:sz w:val="24"/>
          <w14:textFill>
            <w14:solidFill>
              <w14:schemeClr w14:val="tx1"/>
            </w14:solidFill>
          </w14:textFill>
        </w:rPr>
        <w:t>学</w:t>
      </w:r>
      <w:r>
        <w:rPr>
          <w:rFonts w:hint="eastAsia" w:ascii="宋体" w:hAnsi="宋体" w:cs="Arial"/>
          <w:color w:val="000000" w:themeColor="text1"/>
          <w:sz w:val="24"/>
          <w14:textFill>
            <w14:solidFill>
              <w14:schemeClr w14:val="tx1"/>
            </w14:solidFill>
          </w14:textFill>
        </w:rPr>
        <w:t>分。</w:t>
      </w:r>
    </w:p>
    <w:p>
      <w:pPr>
        <w:spacing w:line="480" w:lineRule="exact"/>
        <w:ind w:left="420" w:leftChars="200"/>
        <w:rPr>
          <w:rFonts w:ascii="宋体" w:hAnsi="宋体" w:eastAsia="宋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学学术学位硕士研究生学位论文在导师的指导下由研究生独立完成，写作时间不少于一年。数学学术学位硕士研究生学位论文的开题、评审及答辩过程按照《西北师范大学研究生学位论文工作暂行规定》的要求执行。数学学术学位硕士研究生毕业公开发表论文的具体要求参照《西北师范大学关于研究生在攻读学位期间发表学术论文的规定》执行。</w:t>
      </w:r>
    </w:p>
    <w:p>
      <w:pPr>
        <w:spacing w:line="480" w:lineRule="exact"/>
        <w:ind w:firstLine="480"/>
        <w:rPr>
          <w:rFonts w:ascii="宋体" w:hAnsi="宋体"/>
          <w:color w:val="000000" w:themeColor="text1"/>
          <w:sz w:val="24"/>
          <w14:textFill>
            <w14:solidFill>
              <w14:schemeClr w14:val="tx1"/>
            </w14:solidFill>
          </w14:textFill>
        </w:rPr>
      </w:pP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附件：数学学术学位硕士研究生课程设置与教学计划表</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w:t>
      </w: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spacing w:line="480" w:lineRule="exac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p>
    <w:p>
      <w:pPr>
        <w:jc w:val="left"/>
        <w:rPr>
          <w:rFonts w:asciiTheme="minorEastAsia" w:hAnsiTheme="minorEastAsia" w:cstheme="minorEastAsia"/>
          <w:bCs/>
          <w:color w:val="000000" w:themeColor="text1"/>
          <w:sz w:val="24"/>
          <w14:textFill>
            <w14:solidFill>
              <w14:schemeClr w14:val="tx1"/>
            </w14:solidFill>
          </w14:textFill>
        </w:rPr>
      </w:pPr>
      <w:bookmarkStart w:id="30" w:name="_Toc24542"/>
      <w:bookmarkStart w:id="31" w:name="_Toc18658"/>
      <w:r>
        <w:rPr>
          <w:rFonts w:hint="eastAsia" w:asciiTheme="minorEastAsia" w:hAnsiTheme="minorEastAsia" w:cstheme="minorEastAsia"/>
          <w:bCs/>
          <w:color w:val="000000" w:themeColor="text1"/>
          <w:sz w:val="24"/>
          <w14:textFill>
            <w14:solidFill>
              <w14:schemeClr w14:val="tx1"/>
            </w14:solidFill>
          </w14:textFill>
        </w:rPr>
        <w:t>附件：</w:t>
      </w:r>
    </w:p>
    <w:p>
      <w:pPr>
        <w:spacing w:after="72" w:afterLines="30" w:line="52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 数学学术学位硕士研究生课程设置与教学计划表</w:t>
      </w:r>
    </w:p>
    <w:tbl>
      <w:tblPr>
        <w:tblStyle w:val="7"/>
        <w:tblW w:w="9597" w:type="dxa"/>
        <w:jc w:val="center"/>
        <w:tblInd w:w="-17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61"/>
        <w:gridCol w:w="637"/>
        <w:gridCol w:w="1031"/>
        <w:gridCol w:w="2657"/>
        <w:gridCol w:w="720"/>
        <w:gridCol w:w="720"/>
        <w:gridCol w:w="664"/>
        <w:gridCol w:w="416"/>
        <w:gridCol w:w="1494"/>
        <w:gridCol w:w="79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109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3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公共必修课</w:t>
            </w: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M0152008</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泛函分析</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72</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陈鹏玉 杨  和</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M0152009</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iCs/>
                <w:color w:val="000000" w:themeColor="text1"/>
                <w:kern w:val="0"/>
                <w:sz w:val="18"/>
                <w:szCs w:val="18"/>
                <w14:textFill>
                  <w14:solidFill>
                    <w14:schemeClr w14:val="tx1"/>
                  </w14:solidFill>
                </w14:textFill>
              </w:rPr>
            </w:pPr>
            <w:r>
              <w:rPr>
                <w:rFonts w:hint="eastAsia" w:ascii="宋体" w:hAnsi="宋体" w:eastAsia="宋体" w:cs="宋体"/>
                <w:iCs/>
                <w:color w:val="000000" w:themeColor="text1"/>
                <w:kern w:val="0"/>
                <w:sz w:val="18"/>
                <w:szCs w:val="18"/>
                <w14:textFill>
                  <w14:solidFill>
                    <w14:schemeClr w14:val="tx1"/>
                  </w14:solidFill>
                </w14:textFill>
              </w:rPr>
              <w:t>抽象代数</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72</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180" w:firstLineChars="10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张文汇</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M0152013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iCs/>
                <w:color w:val="000000" w:themeColor="text1"/>
                <w:kern w:val="0"/>
                <w:sz w:val="18"/>
                <w:szCs w:val="18"/>
                <w14:textFill>
                  <w14:solidFill>
                    <w14:schemeClr w14:val="tx1"/>
                  </w14:solidFill>
                </w14:textFill>
              </w:rPr>
            </w:pPr>
            <w:r>
              <w:rPr>
                <w:rFonts w:hint="eastAsia" w:ascii="宋体" w:hAnsi="宋体" w:eastAsia="宋体" w:cs="宋体"/>
                <w:iCs/>
                <w:color w:val="000000" w:themeColor="text1"/>
                <w:kern w:val="0"/>
                <w:sz w:val="18"/>
                <w:szCs w:val="18"/>
                <w14:textFill>
                  <w14:solidFill>
                    <w14:schemeClr w14:val="tx1"/>
                  </w14:solidFill>
                </w14:textFill>
              </w:rPr>
              <w:t>微分几何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180" w:firstLineChars="10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杨  超</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M0152002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微分方程</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72</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4</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高承华 路艳琼</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专业必修课</w:t>
            </w: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M0153001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非线性泛函分析</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李永祥 陈鹏玉</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M0153002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测度论</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冯德成</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M0153003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组合数学</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姚海元 陈祥恩</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M0153004</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数值计算</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郭晓斌 温  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孟令胜</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3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专业选修课</w:t>
            </w: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M0154070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非线性边值问题</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马如云</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M0154072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线性方程的非线性扰动</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马如云</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M0154082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抽象空间微分方程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陈鹏玉 杨  和</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M0154057</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算子半群与发展方程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李永祥 杨  和</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M0154088</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微分方程的泛函方法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杨  和 陈鹏玉</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M0154092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线性算子的谱分析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高承华 韩晓玲</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非线性常微分方程边值问题</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韩晓玲</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复形的相对同调理论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赵仁育</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M0154052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同调代数</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张文汇</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M0154059</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代数基础</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王占平</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M0154050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交换代数</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刘仲奎</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M0154051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相对同调代数</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狄振兴</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M0154064</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Representation Theory of Artin Algebras</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张翠萍</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三角范畴与导出范畴</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杨晓燕</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M0154067</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半群引论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乔虎生</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M0154084</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黎曼几何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刘建成</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M0154086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几何分析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刘建成</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模糊分析学基础</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巩增泰</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模糊积分理论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巩增泰</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不确定性问题的数学理论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巩增泰</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广义函数与Sobolev 空间</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伏升茂 张丽娜</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孙晋易</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M0154160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现代偏微分方程基础</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伏升茂 张丽娜</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孙晋易</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M0154105</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非线性椭圆型方程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伏升茂 张丽娜</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孙晋易</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M0154106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非线性抛物型方程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伏升茂 张丽娜</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M0154068</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非线性双曲型方程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孙晋易</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iCs/>
                <w:color w:val="000000" w:themeColor="text1"/>
                <w:sz w:val="18"/>
                <w:szCs w:val="18"/>
                <w14:textFill>
                  <w14:solidFill>
                    <w14:schemeClr w14:val="tx1"/>
                  </w14:solidFill>
                </w14:textFill>
              </w:rPr>
            </w:pPr>
            <w:r>
              <w:rPr>
                <w:rFonts w:hint="eastAsia" w:ascii="宋体" w:hAnsi="宋体" w:eastAsia="宋体" w:cs="宋体"/>
                <w:bCs/>
                <w:i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M0154119</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数学物理方程的吸引子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汪  璇</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M0154069</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耗散偏微分方程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马巧珍</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M0154110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反应扩散方程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张国宝</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M0154127</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非线性发展方程引论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冯斌华</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M0154113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调和分析(I)</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陶双平 孙小春</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M0154114</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调和分析(II)</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陶双平 孙小春</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M0154133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pacing w:val="-17"/>
                <w:kern w:val="0"/>
                <w:sz w:val="18"/>
                <w:szCs w:val="18"/>
                <w14:textFill>
                  <w14:solidFill>
                    <w14:schemeClr w14:val="tx1"/>
                  </w14:solidFill>
                </w14:textFill>
              </w:rPr>
              <w:t>傅里叶分析与非线性偏微分方程(I)</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孙小春</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M0154134</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pacing w:val="-17"/>
                <w:kern w:val="0"/>
                <w:sz w:val="18"/>
                <w:szCs w:val="18"/>
                <w14:textFill>
                  <w14:solidFill>
                    <w14:schemeClr w14:val="tx1"/>
                  </w14:solidFill>
                </w14:textFill>
              </w:rPr>
              <w:t>傅里叶分析与非线性偏微分方程(II)</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孙小春</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M0154135</w:t>
            </w:r>
          </w:p>
        </w:tc>
        <w:tc>
          <w:tcPr>
            <w:tcW w:w="2657" w:type="dxa"/>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Kurzweil积分理论与广义常微分方程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108</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李宝麟</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M0154136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测度微分方程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李宝麟</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M0154213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图论及其应用</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陈祥恩</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M0154238</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匹配理论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陈祥恩</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M0154221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最优化理论与方法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马宇红</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M0154211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代数图论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姚海元</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M0154240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iCs/>
                <w:color w:val="000000" w:themeColor="text1"/>
                <w:kern w:val="0"/>
                <w:sz w:val="18"/>
                <w:szCs w:val="18"/>
                <w14:textFill>
                  <w14:solidFill>
                    <w14:schemeClr w14:val="tx1"/>
                  </w14:solidFill>
                </w14:textFill>
              </w:rPr>
            </w:pPr>
            <w:r>
              <w:rPr>
                <w:rFonts w:hint="eastAsia" w:ascii="宋体" w:hAnsi="宋体" w:eastAsia="宋体" w:cs="宋体"/>
                <w:bCs/>
                <w:iCs/>
                <w:color w:val="000000" w:themeColor="text1"/>
                <w:kern w:val="0"/>
                <w:sz w:val="18"/>
                <w:szCs w:val="18"/>
                <w14:textFill>
                  <w14:solidFill>
                    <w14:schemeClr w14:val="tx1"/>
                  </w14:solidFill>
                </w14:textFill>
              </w:rPr>
              <w:t>图的染色理论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姚海元</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M0154241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图论与网络科学</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师海忠</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M0154226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近似算法设计与分析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师海忠</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M0154195</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随机分析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周玉兰</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M0154185</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随机过程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韩  琦</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有限域及其应用</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杜小妮</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密码学进展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杜小妮</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M0154197</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i/>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数字图像处理</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张贵仓</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M0154162</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i/>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计算机图形学</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张贵仓</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M0154175</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科学计算</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熊向团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M0154198</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数值代数及其应用</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缪树鑫</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M0154173</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离散不适定问题的正则化理论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温  瑾</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M0154199</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模糊数学基础理论</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郭晓斌</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M0154200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模糊数与矩阵计算</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郭晓斌</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M0154201</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矩阵扰动分析</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孟令胜</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extDirection w:val="tbRlV"/>
          </w:tcPr>
          <w:p>
            <w:pPr>
              <w:keepNext w:val="0"/>
              <w:keepLines w:val="0"/>
              <w:suppressLineNumbers w:val="0"/>
              <w:spacing w:before="0" w:beforeAutospacing="0" w:after="0" w:afterAutospacing="0" w:line="240" w:lineRule="exact"/>
              <w:ind w:left="113" w:right="113"/>
              <w:jc w:val="center"/>
              <w:rPr>
                <w:rFonts w:hint="default" w:ascii="宋体" w:hAnsi="宋体" w:eastAsia="宋体" w:cs="宋体"/>
                <w:b/>
                <w:bCs/>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M0154156</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bCs/>
                <w:i/>
                <w:i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差分方程导引</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路艳琼</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M0154300</w:t>
            </w:r>
          </w:p>
        </w:tc>
        <w:tc>
          <w:tcPr>
            <w:tcW w:w="265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论文选讲</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三四</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五六</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4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导  师</w:t>
            </w:r>
          </w:p>
        </w:tc>
        <w:tc>
          <w:tcPr>
            <w:tcW w:w="7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公共选修课</w:t>
            </w: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M0007000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46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3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7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4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1098"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849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参加校内外学术会议1次(1学分)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1098"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49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选听学科前沿系列讲座1个或给本科生至少做一次学术报告(1学分)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jc w:val="center"/>
        </w:trPr>
        <w:tc>
          <w:tcPr>
            <w:tcW w:w="1098"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499"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widowControl/>
        <w:jc w:val="left"/>
        <w:rPr>
          <w:rFonts w:ascii="黑体" w:hAnsi="黑体" w:eastAsia="黑体" w:cs="黑体"/>
          <w:bCs/>
          <w:color w:val="000000" w:themeColor="text1"/>
          <w:kern w:val="44"/>
          <w:sz w:val="32"/>
          <w:szCs w:val="32"/>
          <w14:textFill>
            <w14:solidFill>
              <w14:schemeClr w14:val="tx1"/>
            </w14:solidFill>
          </w14:textFill>
        </w:rPr>
      </w:pPr>
    </w:p>
    <w:p>
      <w:pPr>
        <w:pStyle w:val="2"/>
        <w:spacing w:before="120" w:after="120"/>
        <w:rPr>
          <w:rFonts w:ascii="黑体" w:hAnsi="黑体" w:cs="黑体"/>
          <w:bCs/>
          <w:color w:val="000000" w:themeColor="text1"/>
          <w:szCs w:val="32"/>
          <w14:textFill>
            <w14:solidFill>
              <w14:schemeClr w14:val="tx1"/>
            </w14:solidFill>
          </w14:textFill>
        </w:rPr>
        <w:sectPr>
          <w:headerReference r:id="rId7" w:type="first"/>
          <w:footerReference r:id="rId10" w:type="first"/>
          <w:headerReference r:id="rId6" w:type="default"/>
          <w:footerReference r:id="rId8" w:type="default"/>
          <w:footerReference r:id="rId9" w:type="even"/>
          <w:type w:val="continuous"/>
          <w:pgSz w:w="11906" w:h="16838"/>
          <w:pgMar w:top="1701" w:right="1474" w:bottom="1418" w:left="1418" w:header="1191" w:footer="1021" w:gutter="0"/>
          <w:pgNumType w:fmt="decimal"/>
          <w:cols w:space="0" w:num="1"/>
          <w:docGrid w:linePitch="316" w:charSpace="0"/>
        </w:sectPr>
      </w:pPr>
      <w:bookmarkStart w:id="32" w:name="_Toc516559212"/>
      <w:bookmarkStart w:id="33" w:name="_Toc11975"/>
      <w:bookmarkStart w:id="34" w:name="_Toc11015"/>
    </w:p>
    <w:p>
      <w:pPr>
        <w:pStyle w:val="2"/>
        <w:spacing w:before="120"/>
        <w:rPr>
          <w:rFonts w:ascii="黑体" w:hAnsi="黑体" w:cs="黑体"/>
          <w:bCs/>
          <w:color w:val="000000" w:themeColor="text1"/>
          <w:szCs w:val="32"/>
          <w14:textFill>
            <w14:solidFill>
              <w14:schemeClr w14:val="tx1"/>
            </w14:solidFill>
          </w14:textFill>
        </w:rPr>
      </w:pPr>
      <w:bookmarkStart w:id="35" w:name="_Toc527397067"/>
      <w:bookmarkStart w:id="36" w:name="_Toc19693"/>
      <w:r>
        <w:rPr>
          <w:rFonts w:hint="eastAsia" w:ascii="黑体" w:hAnsi="黑体" w:cs="黑体"/>
          <w:bCs/>
          <w:color w:val="000000" w:themeColor="text1"/>
          <w:szCs w:val="32"/>
          <w14:textFill>
            <w14:solidFill>
              <w14:schemeClr w14:val="tx1"/>
            </w14:solidFill>
          </w14:textFill>
        </w:rPr>
        <w:t>统计学学术学位硕士研究生培养方案</w:t>
      </w:r>
      <w:bookmarkEnd w:id="30"/>
      <w:bookmarkEnd w:id="31"/>
      <w:bookmarkEnd w:id="32"/>
      <w:bookmarkEnd w:id="33"/>
      <w:bookmarkEnd w:id="34"/>
      <w:bookmarkEnd w:id="35"/>
      <w:bookmarkEnd w:id="36"/>
    </w:p>
    <w:p>
      <w:pPr>
        <w:spacing w:before="72" w:beforeLines="30" w:after="240" w:afterLines="100" w:line="520" w:lineRule="exact"/>
        <w:jc w:val="center"/>
        <w:rPr>
          <w:rFonts w:ascii="楷体_GB2312" w:hAnsi="楷体_GB2312" w:eastAsia="楷体_GB2312" w:cs="楷体_GB2312"/>
          <w:b/>
          <w:bCs/>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（学科或专业代码：0714）</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一、学科概况</w:t>
      </w:r>
    </w:p>
    <w:p>
      <w:pPr>
        <w:widowControl/>
        <w:spacing w:line="480" w:lineRule="exact"/>
        <w:ind w:firstLine="547" w:firstLineChars="22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统计学是以概率理论为基础、以统计推断为特征的方法论科学。它是研究如何收集数据、如何分析数据，并以此为依据，对总体特征和属性进行推断的具有广泛应用基础的一门学科。统计方法已经成为自然科学、工程技术科学、经济学和人文社会科学等广泛科学领域中的重要工具，各个科学领域的数据不断向统计学提出新的挑战性问题，社会需要更多的、高层次的统计人才。</w:t>
      </w:r>
    </w:p>
    <w:p>
      <w:pPr>
        <w:widowControl/>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在我国统计学学科一直作为应用经济学的二级学科存在，我校于2006年经国务院学位办批准，获得统计学硕士学位授权点。2011年2月，国务院学位委员调整了《学位授予和人才培养学科目录》，统计学上升为理学一级学科，归属于理学，</w:t>
      </w:r>
      <w:r>
        <w:rPr>
          <w:rFonts w:hint="eastAsia" w:ascii="宋体" w:hAnsi="宋体"/>
          <w:color w:val="000000" w:themeColor="text1"/>
          <w:sz w:val="24"/>
          <w14:textFill>
            <w14:solidFill>
              <w14:schemeClr w14:val="tx1"/>
            </w14:solidFill>
          </w14:textFill>
        </w:rPr>
        <w:t>我校获得了《统计学》一级学科硕士学位授予权。2016年9月，学校决定统计学一级硕士点由数学与统计学院主建，经济学院协助建设。目前，统计学</w:t>
      </w:r>
      <w:r>
        <w:rPr>
          <w:rFonts w:hint="eastAsia" w:ascii="宋体" w:hAnsi="宋体"/>
          <w:color w:val="000000" w:themeColor="text1"/>
          <w:kern w:val="0"/>
          <w:sz w:val="24"/>
          <w14:textFill>
            <w14:solidFill>
              <w14:schemeClr w14:val="tx1"/>
            </w14:solidFill>
          </w14:textFill>
        </w:rPr>
        <w:t>一级学科授权</w:t>
      </w:r>
      <w:r>
        <w:rPr>
          <w:rFonts w:hint="eastAsia" w:ascii="宋体" w:hAnsi="宋体"/>
          <w:color w:val="000000" w:themeColor="text1"/>
          <w:sz w:val="24"/>
          <w14:textFill>
            <w14:solidFill>
              <w14:schemeClr w14:val="tx1"/>
            </w14:solidFill>
          </w14:textFill>
        </w:rPr>
        <w:t>有专任教师17人，其中教授6人，副教授11人，具有博士学位的教师15人，</w:t>
      </w:r>
      <w:r>
        <w:rPr>
          <w:rFonts w:hint="eastAsia" w:ascii="宋体" w:hAnsi="宋体"/>
          <w:color w:val="000000" w:themeColor="text1"/>
          <w:kern w:val="0"/>
          <w:sz w:val="24"/>
          <w14:textFill>
            <w14:solidFill>
              <w14:schemeClr w14:val="tx1"/>
            </w14:solidFill>
          </w14:textFill>
        </w:rPr>
        <w:t>根据研究成果、学术队伍现状，</w:t>
      </w:r>
      <w:r>
        <w:rPr>
          <w:rFonts w:hint="eastAsia" w:ascii="宋体" w:hAnsi="宋体"/>
          <w:color w:val="000000" w:themeColor="text1"/>
          <w:sz w:val="24"/>
          <w14:textFill>
            <w14:solidFill>
              <w14:schemeClr w14:val="tx1"/>
            </w14:solidFill>
          </w14:textFill>
        </w:rPr>
        <w:t>设置了数理统计学，应用统计学，金融统计、风险管理与精算学三个学科方向。</w:t>
      </w:r>
    </w:p>
    <w:p>
      <w:pPr>
        <w:spacing w:line="480" w:lineRule="exact"/>
        <w:ind w:firstLine="480"/>
        <w:rPr>
          <w:rFonts w:ascii="黑体" w:hAnsi="宋体" w:eastAsia="黑体" w:cs="宋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二、培养目标</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本学位点立足甘肃，面向西部，培养具有良好的政治思想品质和坚实的专业知识，勇于追求真理和立志献身于统计学科学研究与应用的高级专门人才。具体要求如下：</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1.具有较高的政治素质、良好的道德品质和团结协作精神，遵纪守法，学风严谨，热爱统计学，有强烈的事业心和献身精神；</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掌握概率论、统计学、数据处理等专业理论知识以及科学研究的基本方法，能够独立从事统计学术研究或独立从事统计调查活动，处理复杂数据，熟练掌握R语言等多种统计软件，其研究成果在理论上有学术价值，在实际中有较强的应用现实意义。毕业后可承担教学、科学研究以及各类统计分析实务和管理工作。</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3.掌握一门外国语（首选英语），能够熟练地阅读专业外文文献与资料，并具有初步的国际学术交流能力。  </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4.身体健康，心理素质好。重视对学生“做人做事”教导，要求务实勤奋，有事业心、社会责任感，善于与人合作，共度共赢，勇于担当，有一定的组织和管理能力。</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三、培养方式</w:t>
      </w:r>
    </w:p>
    <w:p>
      <w:pPr>
        <w:spacing w:line="480" w:lineRule="exact"/>
        <w:ind w:firstLine="480"/>
        <w:rPr>
          <w:rFonts w:ascii="黑体" w:eastAsia="黑体"/>
          <w:color w:val="000000" w:themeColor="text1"/>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本专业的</w:t>
      </w:r>
      <w:r>
        <w:rPr>
          <w:rFonts w:hint="eastAsia" w:ascii="宋体" w:hAnsi="宋体"/>
          <w:color w:val="000000" w:themeColor="text1"/>
          <w:kern w:val="0"/>
          <w:sz w:val="24"/>
          <w14:textFill>
            <w14:solidFill>
              <w14:schemeClr w14:val="tx1"/>
            </w14:solidFill>
          </w14:textFill>
        </w:rPr>
        <w:t>硕</w:t>
      </w:r>
      <w:r>
        <w:rPr>
          <w:rFonts w:ascii="宋体" w:hAnsi="宋体" w:cs="宋体"/>
          <w:color w:val="000000" w:themeColor="text1"/>
          <w:kern w:val="0"/>
          <w:sz w:val="24"/>
          <w14:textFill>
            <w14:solidFill>
              <w14:schemeClr w14:val="tx1"/>
            </w14:solidFill>
          </w14:textFill>
        </w:rPr>
        <w:t>士研究生培养</w:t>
      </w:r>
      <w:r>
        <w:rPr>
          <w:rFonts w:hint="eastAsia" w:ascii="宋体" w:hAnsi="宋体"/>
          <w:color w:val="000000" w:themeColor="text1"/>
          <w:kern w:val="0"/>
          <w:sz w:val="24"/>
          <w14:textFill>
            <w14:solidFill>
              <w14:schemeClr w14:val="tx1"/>
            </w14:solidFill>
          </w14:textFill>
        </w:rPr>
        <w:t>采取导师负责制度。同时提倡建立以导师为主的指导小</w:t>
      </w:r>
      <w:r>
        <w:rPr>
          <w:rFonts w:hint="eastAsia" w:ascii="宋体" w:hAnsi="宋体"/>
          <w:color w:val="000000" w:themeColor="text1"/>
          <w:sz w:val="24"/>
          <w14:textFill>
            <w14:solidFill>
              <w14:schemeClr w14:val="tx1"/>
            </w14:solidFill>
          </w14:textFill>
        </w:rPr>
        <w:t>组，</w:t>
      </w:r>
      <w:r>
        <w:rPr>
          <w:rFonts w:hint="eastAsia" w:ascii="宋体" w:hAnsi="宋体"/>
          <w:color w:val="000000" w:themeColor="text1"/>
          <w:kern w:val="0"/>
          <w:sz w:val="24"/>
          <w14:textFill>
            <w14:solidFill>
              <w14:schemeClr w14:val="tx1"/>
            </w14:solidFill>
          </w14:textFill>
        </w:rPr>
        <w:t>发挥集体指导的优势。硕士研究生的培养以</w:t>
      </w:r>
      <w:r>
        <w:rPr>
          <w:rFonts w:ascii="宋体" w:hAnsi="宋体" w:cs="宋体"/>
          <w:color w:val="000000" w:themeColor="text1"/>
          <w:kern w:val="0"/>
          <w:sz w:val="24"/>
          <w14:textFill>
            <w14:solidFill>
              <w14:schemeClr w14:val="tx1"/>
            </w14:solidFill>
          </w14:textFill>
        </w:rPr>
        <w:t>学</w:t>
      </w:r>
      <w:r>
        <w:rPr>
          <w:rFonts w:hint="eastAsia" w:ascii="宋体" w:hAnsi="宋体"/>
          <w:color w:val="000000" w:themeColor="text1"/>
          <w:kern w:val="0"/>
          <w:sz w:val="24"/>
          <w14:textFill>
            <w14:solidFill>
              <w14:schemeClr w14:val="tx1"/>
            </w14:solidFill>
          </w14:textFill>
        </w:rPr>
        <w:t>科基</w:t>
      </w:r>
      <w:r>
        <w:rPr>
          <w:rFonts w:ascii="宋体" w:hAnsi="宋体" w:cs="宋体"/>
          <w:color w:val="000000" w:themeColor="text1"/>
          <w:kern w:val="0"/>
          <w:sz w:val="24"/>
          <w14:textFill>
            <w14:solidFill>
              <w14:schemeClr w14:val="tx1"/>
            </w14:solidFill>
          </w14:textFill>
        </w:rPr>
        <w:t>础</w:t>
      </w:r>
      <w:r>
        <w:rPr>
          <w:rFonts w:hint="eastAsia" w:ascii="宋体" w:hAnsi="宋体"/>
          <w:color w:val="000000" w:themeColor="text1"/>
          <w:kern w:val="0"/>
          <w:sz w:val="24"/>
          <w14:textFill>
            <w14:solidFill>
              <w14:schemeClr w14:val="tx1"/>
            </w14:solidFill>
          </w14:textFill>
        </w:rPr>
        <w:t>知</w:t>
      </w:r>
      <w:r>
        <w:rPr>
          <w:rFonts w:ascii="宋体" w:hAnsi="宋体" w:cs="宋体"/>
          <w:color w:val="000000" w:themeColor="text1"/>
          <w:kern w:val="0"/>
          <w:sz w:val="24"/>
          <w14:textFill>
            <w14:solidFill>
              <w14:schemeClr w14:val="tx1"/>
            </w14:solidFill>
          </w14:textFill>
        </w:rPr>
        <w:t>识为</w:t>
      </w:r>
      <w:r>
        <w:rPr>
          <w:rFonts w:hint="eastAsia" w:ascii="宋体" w:hAnsi="宋体"/>
          <w:color w:val="000000" w:themeColor="text1"/>
          <w:kern w:val="0"/>
          <w:sz w:val="24"/>
          <w14:textFill>
            <w14:solidFill>
              <w14:schemeClr w14:val="tx1"/>
            </w14:solidFill>
          </w14:textFill>
        </w:rPr>
        <w:t>主，重</w:t>
      </w:r>
      <w:r>
        <w:rPr>
          <w:rFonts w:ascii="宋体" w:hAnsi="宋体" w:cs="宋体"/>
          <w:color w:val="000000" w:themeColor="text1"/>
          <w:kern w:val="0"/>
          <w:sz w:val="24"/>
          <w14:textFill>
            <w14:solidFill>
              <w14:schemeClr w14:val="tx1"/>
            </w14:solidFill>
          </w14:textFill>
        </w:rPr>
        <w:t>点</w:t>
      </w:r>
      <w:r>
        <w:rPr>
          <w:rFonts w:hint="eastAsia" w:ascii="宋体" w:hAnsi="宋体"/>
          <w:color w:val="000000" w:themeColor="text1"/>
          <w:kern w:val="0"/>
          <w:sz w:val="24"/>
          <w14:textFill>
            <w14:solidFill>
              <w14:schemeClr w14:val="tx1"/>
            </w14:solidFill>
          </w14:textFill>
        </w:rPr>
        <w:t>是夯</w:t>
      </w:r>
      <w:r>
        <w:rPr>
          <w:rFonts w:ascii="宋体" w:hAnsi="宋体" w:cs="宋体"/>
          <w:color w:val="000000" w:themeColor="text1"/>
          <w:kern w:val="0"/>
          <w:sz w:val="24"/>
          <w14:textFill>
            <w14:solidFill>
              <w14:schemeClr w14:val="tx1"/>
            </w14:solidFill>
          </w14:textFill>
        </w:rPr>
        <w:t>实学</w:t>
      </w:r>
      <w:r>
        <w:rPr>
          <w:rFonts w:hint="eastAsia" w:ascii="宋体" w:hAnsi="宋体"/>
          <w:color w:val="000000" w:themeColor="text1"/>
          <w:kern w:val="0"/>
          <w:sz w:val="24"/>
          <w14:textFill>
            <w14:solidFill>
              <w14:schemeClr w14:val="tx1"/>
            </w14:solidFill>
          </w14:textFill>
        </w:rPr>
        <w:t>生的基</w:t>
      </w:r>
      <w:r>
        <w:rPr>
          <w:rFonts w:ascii="宋体" w:hAnsi="宋体" w:cs="宋体"/>
          <w:color w:val="000000" w:themeColor="text1"/>
          <w:kern w:val="0"/>
          <w:sz w:val="24"/>
          <w14:textFill>
            <w14:solidFill>
              <w14:schemeClr w14:val="tx1"/>
            </w14:solidFill>
          </w14:textFill>
        </w:rPr>
        <w:t>础</w:t>
      </w:r>
      <w:r>
        <w:rPr>
          <w:rFonts w:hint="eastAsia" w:ascii="宋体" w:hAnsi="宋体"/>
          <w:color w:val="000000" w:themeColor="text1"/>
          <w:kern w:val="0"/>
          <w:sz w:val="24"/>
          <w14:textFill>
            <w14:solidFill>
              <w14:schemeClr w14:val="tx1"/>
            </w14:solidFill>
          </w14:textFill>
        </w:rPr>
        <w:t>并培</w:t>
      </w:r>
      <w:r>
        <w:rPr>
          <w:rFonts w:ascii="宋体" w:hAnsi="宋体" w:cs="宋体"/>
          <w:color w:val="000000" w:themeColor="text1"/>
          <w:kern w:val="0"/>
          <w:sz w:val="24"/>
          <w14:textFill>
            <w14:solidFill>
              <w14:schemeClr w14:val="tx1"/>
            </w14:solidFill>
          </w14:textFill>
        </w:rPr>
        <w:t>养</w:t>
      </w:r>
      <w:r>
        <w:rPr>
          <w:rFonts w:hint="eastAsia" w:ascii="宋体" w:hAnsi="宋体"/>
          <w:color w:val="000000" w:themeColor="text1"/>
          <w:kern w:val="0"/>
          <w:sz w:val="24"/>
          <w14:textFill>
            <w14:solidFill>
              <w14:schemeClr w14:val="tx1"/>
            </w14:solidFill>
          </w14:textFill>
        </w:rPr>
        <w:t>一定</w:t>
      </w:r>
      <w:r>
        <w:rPr>
          <w:rFonts w:ascii="宋体" w:hAnsi="宋体" w:cs="宋体"/>
          <w:color w:val="000000" w:themeColor="text1"/>
          <w:kern w:val="0"/>
          <w:sz w:val="24"/>
          <w14:textFill>
            <w14:solidFill>
              <w14:schemeClr w14:val="tx1"/>
            </w14:solidFill>
          </w14:textFill>
        </w:rPr>
        <w:t>独</w:t>
      </w:r>
      <w:r>
        <w:rPr>
          <w:rFonts w:hint="eastAsia" w:ascii="宋体" w:hAnsi="宋体"/>
          <w:color w:val="000000" w:themeColor="text1"/>
          <w:kern w:val="0"/>
          <w:sz w:val="24"/>
          <w14:textFill>
            <w14:solidFill>
              <w14:schemeClr w14:val="tx1"/>
            </w14:solidFill>
          </w14:textFill>
        </w:rPr>
        <w:t>立</w:t>
      </w:r>
      <w:r>
        <w:rPr>
          <w:rFonts w:ascii="宋体" w:hAnsi="宋体" w:cs="宋体"/>
          <w:color w:val="000000" w:themeColor="text1"/>
          <w:kern w:val="0"/>
          <w:sz w:val="24"/>
          <w14:textFill>
            <w14:solidFill>
              <w14:schemeClr w14:val="tx1"/>
            </w14:solidFill>
          </w14:textFill>
        </w:rPr>
        <w:t>从</w:t>
      </w:r>
      <w:r>
        <w:rPr>
          <w:rFonts w:hint="eastAsia" w:ascii="宋体" w:hAnsi="宋体"/>
          <w:color w:val="000000" w:themeColor="text1"/>
          <w:kern w:val="0"/>
          <w:sz w:val="24"/>
          <w14:textFill>
            <w14:solidFill>
              <w14:schemeClr w14:val="tx1"/>
            </w14:solidFill>
          </w14:textFill>
        </w:rPr>
        <w:t>事科</w:t>
      </w:r>
      <w:r>
        <w:rPr>
          <w:rFonts w:ascii="宋体" w:hAnsi="宋体" w:cs="宋体"/>
          <w:color w:val="000000" w:themeColor="text1"/>
          <w:kern w:val="0"/>
          <w:sz w:val="24"/>
          <w14:textFill>
            <w14:solidFill>
              <w14:schemeClr w14:val="tx1"/>
            </w14:solidFill>
          </w14:textFill>
        </w:rPr>
        <w:t>学</w:t>
      </w:r>
      <w:r>
        <w:rPr>
          <w:rFonts w:hint="eastAsia" w:ascii="宋体" w:hAnsi="宋体"/>
          <w:color w:val="000000" w:themeColor="text1"/>
          <w:kern w:val="0"/>
          <w:sz w:val="24"/>
          <w14:textFill>
            <w14:solidFill>
              <w14:schemeClr w14:val="tx1"/>
            </w14:solidFill>
          </w14:textFill>
        </w:rPr>
        <w:t>研究工作的能力。授课采用</w:t>
      </w:r>
      <w:r>
        <w:rPr>
          <w:rFonts w:ascii="宋体" w:hAnsi="宋体" w:cs="宋体"/>
          <w:color w:val="000000" w:themeColor="text1"/>
          <w:kern w:val="0"/>
          <w:sz w:val="24"/>
          <w14:textFill>
            <w14:solidFill>
              <w14:schemeClr w14:val="tx1"/>
            </w14:solidFill>
          </w14:textFill>
        </w:rPr>
        <w:t>启发式、研讨式的教学方式</w:t>
      </w:r>
      <w:r>
        <w:rPr>
          <w:rFonts w:hint="eastAsia" w:ascii="宋体" w:hAnsi="宋体"/>
          <w:color w:val="000000" w:themeColor="text1"/>
          <w:kern w:val="0"/>
          <w:sz w:val="24"/>
          <w14:textFill>
            <w14:solidFill>
              <w14:schemeClr w14:val="tx1"/>
            </w14:solidFill>
          </w14:textFill>
        </w:rPr>
        <w:t>。硕士生</w:t>
      </w:r>
      <w:r>
        <w:rPr>
          <w:rFonts w:ascii="宋体" w:hAnsi="宋体" w:cs="宋体"/>
          <w:color w:val="000000" w:themeColor="text1"/>
          <w:kern w:val="0"/>
          <w:sz w:val="24"/>
          <w14:textFill>
            <w14:solidFill>
              <w14:schemeClr w14:val="tx1"/>
            </w14:solidFill>
          </w14:textFill>
        </w:rPr>
        <w:t>通过参加必要的学术讲座、讨论班等学术活动来增加</w:t>
      </w:r>
      <w:r>
        <w:rPr>
          <w:rFonts w:hint="eastAsia" w:ascii="宋体" w:hAnsi="宋体"/>
          <w:color w:val="000000" w:themeColor="text1"/>
          <w:kern w:val="0"/>
          <w:sz w:val="24"/>
          <w14:textFill>
            <w14:solidFill>
              <w14:schemeClr w14:val="tx1"/>
            </w14:solidFill>
          </w14:textFill>
        </w:rPr>
        <w:t>和拓展</w:t>
      </w:r>
      <w:r>
        <w:rPr>
          <w:rFonts w:ascii="宋体" w:hAnsi="宋体" w:cs="宋体"/>
          <w:color w:val="000000" w:themeColor="text1"/>
          <w:kern w:val="0"/>
          <w:sz w:val="24"/>
          <w14:textFill>
            <w14:solidFill>
              <w14:schemeClr w14:val="tx1"/>
            </w14:solidFill>
          </w14:textFill>
        </w:rPr>
        <w:t>自己的理论基础知识，提高自己的自学能力和创新能力</w:t>
      </w:r>
      <w:r>
        <w:rPr>
          <w:rFonts w:hint="eastAsia" w:ascii="宋体" w:hAnsi="宋体"/>
          <w:color w:val="000000" w:themeColor="text1"/>
          <w:kern w:val="0"/>
          <w:sz w:val="24"/>
          <w14:textFill>
            <w14:solidFill>
              <w14:schemeClr w14:val="tx1"/>
            </w14:solidFill>
          </w14:textFill>
        </w:rPr>
        <w:t>以及</w:t>
      </w:r>
      <w:r>
        <w:rPr>
          <w:rFonts w:ascii="宋体" w:hAnsi="宋体" w:cs="宋体"/>
          <w:color w:val="000000" w:themeColor="text1"/>
          <w:kern w:val="0"/>
          <w:sz w:val="24"/>
          <w14:textFill>
            <w14:solidFill>
              <w14:schemeClr w14:val="tx1"/>
            </w14:solidFill>
          </w14:textFill>
        </w:rPr>
        <w:t>严谨的科学作风。</w:t>
      </w:r>
      <w:r>
        <w:rPr>
          <w:rFonts w:hint="eastAsia" w:ascii="黑体" w:eastAsia="黑体"/>
          <w:color w:val="000000" w:themeColor="text1"/>
          <w:sz w:val="24"/>
          <w14:textFill>
            <w14:solidFill>
              <w14:schemeClr w14:val="tx1"/>
            </w14:solidFill>
          </w14:textFill>
        </w:rPr>
        <w:t xml:space="preserve"> </w:t>
      </w:r>
    </w:p>
    <w:p>
      <w:pPr>
        <w:spacing w:line="480" w:lineRule="exact"/>
        <w:ind w:firstLine="48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四、学制及学习年限</w:t>
      </w:r>
    </w:p>
    <w:p>
      <w:pPr>
        <w:widowControl/>
        <w:spacing w:line="480" w:lineRule="exact"/>
        <w:ind w:firstLine="48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统计学硕士研究生基本学制3年，最长学习年限5年。</w:t>
      </w:r>
    </w:p>
    <w:p>
      <w:pPr>
        <w:spacing w:line="480" w:lineRule="exact"/>
        <w:ind w:firstLine="48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五、研究方向</w:t>
      </w:r>
    </w:p>
    <w:p>
      <w:pPr>
        <w:widowControl/>
        <w:spacing w:line="480" w:lineRule="exact"/>
        <w:ind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数理统计学</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应用统计学</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金融统计、风险管理与精算学</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六、学分要求</w:t>
      </w:r>
    </w:p>
    <w:p>
      <w:pPr>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研究生在规定学制内至少须修满35学分，其中课程学习不少于33学分，实践环节2学分。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w:t>
      </w:r>
      <w:r>
        <w:rPr>
          <w:rFonts w:hint="eastAsia" w:ascii="宋体" w:hAnsi="宋体"/>
          <w:color w:val="000000" w:themeColor="text1"/>
          <w:sz w:val="24"/>
          <w14:textFill>
            <w14:solidFill>
              <w14:schemeClr w14:val="tx1"/>
            </w14:solidFill>
          </w14:textFill>
        </w:rPr>
        <w:t>、</w:t>
      </w:r>
      <w:r>
        <w:rPr>
          <w:rFonts w:hint="eastAsia" w:ascii="黑体" w:hAns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hAnsi="黑体" w:eastAsia="黑体"/>
          <w:color w:val="000000" w:themeColor="text1"/>
          <w:sz w:val="24"/>
          <w14:textFill>
            <w14:solidFill>
              <w14:schemeClr w14:val="tx1"/>
            </w14:solidFill>
          </w14:textFill>
        </w:rPr>
        <w:t>）</w:t>
      </w:r>
    </w:p>
    <w:p>
      <w:pPr>
        <w:spacing w:line="480" w:lineRule="exact"/>
        <w:ind w:firstLine="48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八、学位论文要求</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统计学硕士研究生学位论文在导师的指导下由研究生独立完成，写作时间不少于一年。统计学硕士研究生学位论文的开题、评审及答辩过程按照《西北师范大学研究生学位论文工作暂行规定》的要求执行。统计学硕士研究生毕业公开发表论文的具体要求参照《西北师范大学关于研究生在攻读学位期间发表学术论文的规定》执行。</w:t>
      </w:r>
      <w:r>
        <w:rPr>
          <w:rFonts w:hint="eastAsia" w:ascii="黑体" w:eastAsia="黑体"/>
          <w:color w:val="000000" w:themeColor="text1"/>
          <w:sz w:val="24"/>
          <w14:textFill>
            <w14:solidFill>
              <w14:schemeClr w14:val="tx1"/>
            </w14:solidFill>
          </w14:textFill>
        </w:rPr>
        <w:t xml:space="preserve"> </w:t>
      </w:r>
    </w:p>
    <w:p>
      <w:pPr>
        <w:spacing w:line="480" w:lineRule="exact"/>
        <w:rPr>
          <w:rFonts w:asciiTheme="minorEastAsia" w:hAnsiTheme="minorEastAsia" w:cstheme="minorEastAsia"/>
          <w:color w:val="000000" w:themeColor="text1"/>
          <w:sz w:val="24"/>
          <w14:textFill>
            <w14:solidFill>
              <w14:schemeClr w14:val="tx1"/>
            </w14:solidFill>
          </w14:textFill>
        </w:rPr>
      </w:pPr>
    </w:p>
    <w:p>
      <w:pPr>
        <w:spacing w:line="48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附件：统计学学术学位硕士研究生课程设置与教学计划表</w:t>
      </w:r>
    </w:p>
    <w:p>
      <w:pPr>
        <w:spacing w:line="480" w:lineRule="exact"/>
        <w:rPr>
          <w:rFonts w:ascii="黑体" w:eastAsia="黑体"/>
          <w:b/>
          <w:bCs/>
          <w:color w:val="000000" w:themeColor="text1"/>
          <w:sz w:val="32"/>
          <w:szCs w:val="32"/>
          <w14:textFill>
            <w14:solidFill>
              <w14:schemeClr w14:val="tx1"/>
            </w14:solidFill>
          </w14:textFill>
        </w:rPr>
      </w:pPr>
      <w:r>
        <w:rPr>
          <w:rFonts w:hint="eastAsia" w:eastAsia="黑体" w:asciiTheme="minorEastAsia" w:hAnsiTheme="minorEastAsia" w:cstheme="minorEastAsia"/>
          <w:color w:val="000000" w:themeColor="text1"/>
          <w:sz w:val="24"/>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统计学学术学位硕士研究生课程设置与教学计划表</w:t>
      </w:r>
    </w:p>
    <w:tbl>
      <w:tblPr>
        <w:tblStyle w:val="7"/>
        <w:tblW w:w="9643" w:type="dxa"/>
        <w:tblInd w:w="-18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85"/>
        <w:gridCol w:w="621"/>
        <w:gridCol w:w="1033"/>
        <w:gridCol w:w="2085"/>
        <w:gridCol w:w="797"/>
        <w:gridCol w:w="646"/>
        <w:gridCol w:w="646"/>
        <w:gridCol w:w="691"/>
        <w:gridCol w:w="1803"/>
        <w:gridCol w:w="83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2" w:hRule="atLeast"/>
        </w:trPr>
        <w:tc>
          <w:tcPr>
            <w:tcW w:w="1106"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类别</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课程代码</w:t>
            </w:r>
          </w:p>
        </w:tc>
        <w:tc>
          <w:tcPr>
            <w:tcW w:w="20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课程名称</w:t>
            </w:r>
          </w:p>
        </w:tc>
        <w:tc>
          <w:tcPr>
            <w:tcW w:w="79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学期</w:t>
            </w:r>
          </w:p>
        </w:tc>
        <w:tc>
          <w:tcPr>
            <w:tcW w:w="64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学时</w:t>
            </w:r>
          </w:p>
        </w:tc>
        <w:tc>
          <w:tcPr>
            <w:tcW w:w="64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学时</w:t>
            </w:r>
          </w:p>
        </w:tc>
        <w:tc>
          <w:tcPr>
            <w:tcW w:w="69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学分</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任课教师</w:t>
            </w:r>
          </w:p>
        </w:tc>
        <w:tc>
          <w:tcPr>
            <w:tcW w:w="83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atLeast"/>
        </w:trPr>
        <w:tc>
          <w:tcPr>
            <w:tcW w:w="485"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621"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必修课</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M0051001</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中国特色科学社会主义理论与实践研究</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马克思主义学院</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M0050003</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自然辩证法概论</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18</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马克思主义学院</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M0101222</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第一外国语</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72</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外国语学院</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专业基础</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M0152008</w:t>
            </w:r>
          </w:p>
        </w:tc>
        <w:tc>
          <w:tcPr>
            <w:tcW w:w="20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泛函分析</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72</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陈鹏玉 杨  和</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M0152014</w:t>
            </w:r>
          </w:p>
        </w:tc>
        <w:tc>
          <w:tcPr>
            <w:tcW w:w="20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数理统计</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72</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肖鸿民 冯慧芳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M0152002</w:t>
            </w:r>
          </w:p>
        </w:tc>
        <w:tc>
          <w:tcPr>
            <w:tcW w:w="20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微分方程</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72</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kern w:val="0"/>
                <w:sz w:val="18"/>
                <w:szCs w:val="18"/>
                <w14:textFill>
                  <w14:solidFill>
                    <w14:schemeClr w14:val="tx1"/>
                  </w14:solidFill>
                </w14:textFill>
              </w:rPr>
              <w:t>高承华 路艳琼</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M0152015</w:t>
            </w:r>
          </w:p>
        </w:tc>
        <w:tc>
          <w:tcPr>
            <w:tcW w:w="2085"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机器学习与统计软件</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72</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4</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冯慧芳 肖鸿民</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必修课</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M0153005</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时间序列分析</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马国顺</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M0153002</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kern w:val="0"/>
                <w:sz w:val="18"/>
                <w:szCs w:val="18"/>
                <w14:textFill>
                  <w14:solidFill>
                    <w14:schemeClr w14:val="tx1"/>
                  </w14:solidFill>
                </w14:textFill>
              </w:rPr>
              <w:t>测度论</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kern w:val="0"/>
                <w:sz w:val="18"/>
                <w:szCs w:val="18"/>
                <w14:textFill>
                  <w14:solidFill>
                    <w14:schemeClr w14:val="tx1"/>
                  </w14:solidFill>
                </w14:textFill>
              </w:rPr>
              <w:t>冯德成</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 xml:space="preserve">修  </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62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选修课</w:t>
            </w: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M0154183</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高等概率论</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王才士</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M0154251</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应用随机过程</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三</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颜荣芳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M0154155</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决策分析</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四</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马国顺</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M0154244</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现代风险精算理论</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三</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肖鸿民 冯慧芳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M0154243</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可证明安全算法与协议</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四</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刘雪艳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M0154245</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大数据分析与数据挖掘</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三</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冯慧芳 肖鸿民</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M0154246</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随机分析</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四</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王才士</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M0154242</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现代密码学</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三</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刘雪艳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M0154250</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随机序</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四</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颜荣芳</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M0154154</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博弈论</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三</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马国顺</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M0154300</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论文选讲</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二、三</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四、五</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导师组</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公共选修课</w:t>
            </w:r>
          </w:p>
        </w:tc>
        <w:tc>
          <w:tcPr>
            <w:tcW w:w="103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语言能力提升课程</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36</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文学院</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1" w:hRule="atLeast"/>
        </w:trPr>
        <w:tc>
          <w:tcPr>
            <w:tcW w:w="485"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621"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Theme="minorEastAsia" w:hAnsiTheme="minorEastAsia" w:cstheme="minorEastAsia"/>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M0006000</w:t>
            </w:r>
          </w:p>
        </w:tc>
        <w:tc>
          <w:tcPr>
            <w:tcW w:w="2085"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荣誉课程</w:t>
            </w:r>
          </w:p>
        </w:tc>
        <w:tc>
          <w:tcPr>
            <w:tcW w:w="797"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一、二</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w:t>
            </w:r>
          </w:p>
        </w:tc>
        <w:tc>
          <w:tcPr>
            <w:tcW w:w="691"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1</w:t>
            </w:r>
          </w:p>
        </w:tc>
        <w:tc>
          <w:tcPr>
            <w:tcW w:w="1803"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研究生院</w:t>
            </w:r>
          </w:p>
        </w:tc>
        <w:tc>
          <w:tcPr>
            <w:tcW w:w="836"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1106"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环节</w:t>
            </w:r>
          </w:p>
        </w:tc>
        <w:tc>
          <w:tcPr>
            <w:tcW w:w="8537" w:type="dxa"/>
            <w:gridSpan w:val="8"/>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参加校内外学术会议1次(1学分)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1106"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8537" w:type="dxa"/>
            <w:gridSpan w:val="8"/>
            <w:tcBorders>
              <w:top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Theme="minorEastAsia" w:hAnsiTheme="minorEastAsia" w:cstheme="minorEastAsia"/>
                <w:bCs/>
                <w:color w:val="000000" w:themeColor="text1"/>
                <w:sz w:val="18"/>
                <w:szCs w:val="18"/>
                <w14:textFill>
                  <w14:solidFill>
                    <w14:schemeClr w14:val="tx1"/>
                  </w14:solidFill>
                </w14:textFill>
              </w:rPr>
              <w:t>选听学科前沿系列讲座1个或给本科生至少做一次学术报告(1学分)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110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总学分</w:t>
            </w:r>
          </w:p>
        </w:tc>
        <w:tc>
          <w:tcPr>
            <w:tcW w:w="8537"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不低于35学分</w:t>
            </w:r>
          </w:p>
        </w:tc>
      </w:tr>
    </w:tbl>
    <w:p>
      <w:pPr>
        <w:rPr>
          <w:color w:val="000000" w:themeColor="text1"/>
          <w14:textFill>
            <w14:solidFill>
              <w14:schemeClr w14:val="tx1"/>
            </w14:solidFill>
          </w14:textFill>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pPr>
    <w: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sz w:val="21"/>
                              <w:szCs w:val="21"/>
                            </w:rPr>
                            <w:id w:val="-1741937012"/>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407</w:t>
                              </w:r>
                              <w:r>
                                <w:rPr>
                                  <w:rFonts w:asciiTheme="minorEastAsia" w:hAnsiTheme="minorEastAsia"/>
                                  <w:sz w:val="21"/>
                                  <w:szCs w:val="21"/>
                                </w:rPr>
                                <w:fldChar w:fldCharType="end"/>
                              </w:r>
                            </w:p>
                          </w:sdtContent>
                        </w:sdt>
                        <w:p>
                          <w:pPr>
                            <w:rPr>
                              <w:rFonts w:asciiTheme="minorEastAsia" w:hAnsiTheme="minorEastAsia"/>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42880;mso-width-relative:page;mso-height-relative:page;" filled="f" stroked="f" coordsize="21600,21600" o:gfxdata="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MA2V9MAAAAGAQAADwAAAAAAAAABACAAAAAi&#10;AAAAZHJzL2Rvd25yZXYueG1sUEsBAhQAFAAAAAgAh07iQHP4ZNkPAgAABwQAAA4AAAAAAAAAAQAg&#10;AAAAIgEAAGRycy9lMm9Eb2MueG1sUEsFBgAAAAAGAAYAWQEAAKMFAAAAAA==&#10;">
              <v:fill on="f" focussize="0,0"/>
              <v:stroke on="f" weight="0.5pt"/>
              <v:imagedata o:title=""/>
              <o:lock v:ext="edit" aspectratio="f"/>
              <v:textbox inset="0mm,0mm,0mm,0mm" style="mso-fit-shape-to-text:t;">
                <w:txbxContent>
                  <w:sdt>
                    <w:sdtPr>
                      <w:rPr>
                        <w:rFonts w:asciiTheme="minorEastAsia" w:hAnsiTheme="minorEastAsia"/>
                        <w:sz w:val="21"/>
                        <w:szCs w:val="21"/>
                      </w:rPr>
                      <w:id w:val="-1741937012"/>
                    </w:sdtPr>
                    <w:sdtEndPr>
                      <w:rPr>
                        <w:rFonts w:asciiTheme="minorEastAsia" w:hAnsiTheme="minorEastAsia"/>
                        <w:sz w:val="21"/>
                        <w:szCs w:val="21"/>
                      </w:rPr>
                    </w:sdtEndPr>
                    <w:sdt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407</w:t>
                        </w:r>
                        <w:r>
                          <w:rPr>
                            <w:rFonts w:asciiTheme="minorEastAsia" w:hAnsiTheme="minorEastAsia"/>
                            <w:sz w:val="21"/>
                            <w:szCs w:val="21"/>
                          </w:rPr>
                          <w:fldChar w:fldCharType="end"/>
                        </w:r>
                      </w:p>
                    </w:sdtContent>
                  </w:sdt>
                  <w:p>
                    <w:pPr>
                      <w:rPr>
                        <w:rFonts w:asciiTheme="minorEastAsia" w:hAnsiTheme="minorEastAsia"/>
                        <w:szCs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37760"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411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37760;mso-width-relative:page;mso-height-relative:page;" filled="f" stroked="f" coordsize="21600,21600" o:gfxdata="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wDZX0wAAAAYBAAAPAAAAAAAAAAEAIAAA&#10;ACIAAABkcnMvZG93bnJldi54bWxQSwECFAAUAAAACACHTuJAsiWUaRECAAAJBAAADgAAAAAAAAAB&#10;ACAAAAAiAQAAZHJzL2Uyb0RvYy54bWxQSwUGAAAAAAYABgBZAQAApQUAAAAA&#10;">
              <v:fill on="f" focussize="0,0"/>
              <v:stroke on="f" weight="0.5pt"/>
              <v:imagedata o:title=""/>
              <o:lock v:ext="edit" aspectratio="f"/>
              <v:textbox inset="0mm,0mm,0mm,0mm" style="mso-fit-shape-to-text:t;">
                <w:txbxContent>
                  <w:p>
                    <w:pPr>
                      <w:pStyle w:val="3"/>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411</w:t>
                    </w:r>
                    <w:r>
                      <w:rPr>
                        <w:rFonts w:hint="eastAsia" w:ascii="宋体" w:hAnsi="宋体" w:eastAsia="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222308"/>
    </w:sdtPr>
    <w:sdtEndPr>
      <w:rPr>
        <w:rFonts w:asciiTheme="minorEastAsia" w:hAnsiTheme="minorEastAsia"/>
        <w:sz w:val="21"/>
        <w:szCs w:val="21"/>
      </w:rPr>
    </w:sdtEndPr>
    <w:sdtContent>
      <w:p>
        <w:pPr>
          <w:pStyle w:val="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412</w:t>
        </w:r>
        <w:r>
          <w:rPr>
            <w:rFonts w:asciiTheme="minorEastAsia" w:hAnsiTheme="minorEastAsia"/>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数学学术学位博士研究生培养方案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数学学术学位硕士研究生培养方案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5B9"/>
    <w:multiLevelType w:val="multilevel"/>
    <w:tmpl w:val="719825B9"/>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2C70"/>
    <w:rsid w:val="38B3362F"/>
    <w:rsid w:val="653C13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2018-11-09T04:55:18Z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