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20" w:lineRule="exact"/>
        <w:ind w:firstLine="602" w:firstLineChars="200"/>
        <w:textAlignment w:val="auto"/>
        <w:outlineLvl w:val="9"/>
        <w:rPr>
          <w:rFonts w:hint="eastAsia" w:ascii="仿宋_GB2312" w:hAnsi="仿宋_GB2312" w:eastAsia="仿宋_GB2312" w:cs="仿宋_GB2312"/>
          <w:b/>
          <w:bCs/>
          <w:sz w:val="30"/>
          <w:szCs w:val="30"/>
          <w:lang w:val="zh-CN" w:eastAsia="zh-CN"/>
        </w:rPr>
      </w:pP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r>
        <w:drawing>
          <wp:anchor distT="0" distB="0" distL="114300" distR="114300" simplePos="0" relativeHeight="251661312" behindDoc="0" locked="0" layoutInCell="1" allowOverlap="1">
            <wp:simplePos x="0" y="0"/>
            <wp:positionH relativeFrom="column">
              <wp:posOffset>21590</wp:posOffset>
            </wp:positionH>
            <wp:positionV relativeFrom="paragraph">
              <wp:posOffset>243205</wp:posOffset>
            </wp:positionV>
            <wp:extent cx="3236595" cy="705485"/>
            <wp:effectExtent l="0" t="0" r="3810" b="14605"/>
            <wp:wrapNone/>
            <wp:docPr id="14" name="图片 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1"/>
                    <pic:cNvPicPr>
                      <a:picLocks noChangeAspect="1"/>
                    </pic:cNvPicPr>
                  </pic:nvPicPr>
                  <pic:blipFill>
                    <a:blip r:embed="rId7"/>
                    <a:stretch>
                      <a:fillRect/>
                    </a:stretch>
                  </pic:blipFill>
                  <pic:spPr>
                    <a:xfrm>
                      <a:off x="0" y="0"/>
                      <a:ext cx="3236595" cy="705485"/>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line="1100" w:lineRule="exact"/>
        <w:jc w:val="center"/>
        <w:textAlignment w:val="auto"/>
        <w:outlineLvl w:val="9"/>
        <w:rPr>
          <w:rFonts w:hint="eastAsia" w:ascii="方正大标宋简体" w:hAnsi="方正大标宋简体" w:eastAsia="方正大标宋简体" w:cs="方正大标宋简体"/>
          <w:b/>
          <w:spacing w:val="45"/>
          <w:w w:val="80"/>
          <w:sz w:val="84"/>
          <w:szCs w:val="84"/>
          <w:lang w:val="zh-CN" w:eastAsia="zh-CN"/>
        </w:rPr>
      </w:pPr>
      <w:r>
        <w:rPr>
          <w:rFonts w:hint="eastAsia" w:ascii="方正大标宋简体" w:hAnsi="方正大标宋简体" w:eastAsia="方正大标宋简体" w:cs="方正大标宋简体"/>
          <w:b/>
          <w:spacing w:val="0"/>
          <w:w w:val="80"/>
          <w:sz w:val="84"/>
          <w:szCs w:val="84"/>
          <w:lang w:val="zh-CN" w:eastAsia="zh-CN"/>
        </w:rPr>
        <w:t>研究生荣誉课程排课选课指南</w:t>
      </w:r>
    </w:p>
    <w:p>
      <w:pPr>
        <w:keepNext w:val="0"/>
        <w:keepLines w:val="0"/>
        <w:pageBreakBefore w:val="0"/>
        <w:widowControl/>
        <w:kinsoku/>
        <w:wordWrap/>
        <w:overflowPunct/>
        <w:topLinePunct w:val="0"/>
        <w:autoSpaceDE/>
        <w:autoSpaceDN/>
        <w:bidi w:val="0"/>
        <w:adjustRightInd/>
        <w:snapToGrid/>
        <w:spacing w:line="900" w:lineRule="exact"/>
        <w:jc w:val="center"/>
        <w:textAlignment w:val="auto"/>
        <w:outlineLvl w:val="9"/>
        <w:rPr>
          <w:rFonts w:hint="eastAsia" w:ascii="方正大标宋简体" w:hAnsi="方正大标宋简体" w:eastAsia="方正大标宋简体" w:cs="方正大标宋简体"/>
          <w:b/>
          <w:spacing w:val="45"/>
          <w:w w:val="80"/>
          <w:sz w:val="52"/>
          <w:szCs w:val="52"/>
          <w:lang w:val="zh-CN" w:eastAsia="zh-CN"/>
        </w:rPr>
      </w:pPr>
      <w:r>
        <w:rPr>
          <w:rFonts w:hint="eastAsia" w:ascii="方正大标宋简体" w:hAnsi="方正大标宋简体" w:eastAsia="方正大标宋简体" w:cs="方正大标宋简体"/>
          <w:b/>
          <w:spacing w:val="45"/>
          <w:w w:val="80"/>
          <w:sz w:val="52"/>
          <w:szCs w:val="52"/>
          <w:lang w:val="zh-CN" w:eastAsia="zh-CN"/>
        </w:rPr>
        <w:t>（</w:t>
      </w:r>
      <w:r>
        <w:rPr>
          <w:rFonts w:hint="eastAsia" w:ascii="方正大标宋简体" w:hAnsi="方正大标宋简体" w:eastAsia="方正大标宋简体" w:cs="方正大标宋简体"/>
          <w:b/>
          <w:spacing w:val="45"/>
          <w:w w:val="80"/>
          <w:sz w:val="52"/>
          <w:szCs w:val="52"/>
          <w:lang w:val="en-US" w:eastAsia="zh-CN"/>
        </w:rPr>
        <w:t>2024-2025学年第二学期</w:t>
      </w:r>
      <w:r>
        <w:rPr>
          <w:rFonts w:hint="eastAsia" w:ascii="方正大标宋简体" w:hAnsi="方正大标宋简体" w:eastAsia="方正大标宋简体" w:cs="方正大标宋简体"/>
          <w:b/>
          <w:spacing w:val="45"/>
          <w:w w:val="80"/>
          <w:sz w:val="52"/>
          <w:szCs w:val="52"/>
          <w:lang w:val="zh-CN" w:eastAsia="zh-CN"/>
        </w:rPr>
        <w:t>）</w:t>
      </w: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spacing w:line="640" w:lineRule="exact"/>
        <w:jc w:val="center"/>
        <w:rPr>
          <w:rFonts w:hint="eastAsia" w:ascii="华文中宋" w:hAnsi="华文中宋" w:eastAsia="华文中宋" w:cs="华文中宋"/>
          <w:b/>
          <w:bCs/>
          <w:sz w:val="52"/>
          <w:szCs w:val="52"/>
          <w:lang w:val="zh-CN" w:eastAsia="zh-CN"/>
        </w:rPr>
      </w:pPr>
      <w:r>
        <w:rPr>
          <w:rFonts w:hint="eastAsia" w:ascii="华文中宋" w:hAnsi="华文中宋" w:eastAsia="华文中宋" w:cs="华文中宋"/>
          <w:bCs/>
          <w:sz w:val="32"/>
          <w:szCs w:val="32"/>
          <w:lang w:val="zh-CN" w:eastAsia="zh-CN"/>
        </w:rPr>
        <w:t>研究生院</w:t>
      </w:r>
    </w:p>
    <w:p>
      <w:pPr>
        <w:spacing w:line="640" w:lineRule="exact"/>
        <w:jc w:val="center"/>
        <w:rPr>
          <w:rFonts w:hint="eastAsia" w:ascii="华文中宋" w:hAnsi="华文中宋" w:eastAsia="华文中宋" w:cs="华文中宋"/>
          <w:bCs/>
          <w:sz w:val="32"/>
          <w:szCs w:val="32"/>
          <w:lang w:val="zh-CN" w:eastAsia="zh-CN"/>
        </w:rPr>
        <w:sectPr>
          <w:headerReference r:id="rId3" w:type="default"/>
          <w:footerReference r:id="rId4" w:type="default"/>
          <w:pgSz w:w="11906" w:h="16838"/>
          <w:pgMar w:top="1440" w:right="1531" w:bottom="1440" w:left="1587" w:header="851" w:footer="992" w:gutter="0"/>
          <w:pgNumType w:fmt="numberInDash" w:start="1"/>
          <w:cols w:space="0" w:num="1"/>
          <w:rtlGutter w:val="0"/>
          <w:docGrid w:type="lines" w:linePitch="312" w:charSpace="0"/>
        </w:sectPr>
      </w:pPr>
      <w:r>
        <w:rPr>
          <w:rFonts w:hint="eastAsia" w:ascii="华文中宋" w:hAnsi="华文中宋" w:eastAsia="华文中宋" w:cs="华文中宋"/>
          <w:bCs/>
          <w:sz w:val="32"/>
          <w:szCs w:val="32"/>
          <w:lang w:val="zh-CN" w:eastAsia="zh-CN"/>
        </w:rPr>
        <w:t>二</w:t>
      </w:r>
      <w:r>
        <w:rPr>
          <w:rFonts w:hint="eastAsia" w:ascii="方正书宋_GBK" w:hAnsi="方正书宋_GBK" w:eastAsia="方正书宋_GBK" w:cs="方正书宋_GBK"/>
          <w:bCs/>
          <w:sz w:val="32"/>
          <w:szCs w:val="32"/>
          <w:lang w:val="zh-CN" w:eastAsia="zh-CN"/>
        </w:rPr>
        <w:t>〇</w:t>
      </w:r>
      <w:r>
        <w:rPr>
          <w:rFonts w:hint="eastAsia" w:ascii="华文中宋" w:hAnsi="华文中宋" w:eastAsia="华文中宋" w:cs="华文中宋"/>
          <w:bCs/>
          <w:sz w:val="32"/>
          <w:szCs w:val="32"/>
          <w:lang w:val="zh-CN" w:eastAsia="zh-CN"/>
        </w:rPr>
        <w:t>二</w:t>
      </w:r>
      <w:r>
        <w:rPr>
          <w:rFonts w:hint="eastAsia" w:ascii="华文中宋" w:hAnsi="华文中宋" w:eastAsia="华文中宋" w:cs="华文中宋"/>
          <w:bCs/>
          <w:sz w:val="32"/>
          <w:szCs w:val="32"/>
          <w:lang w:val="en-US" w:eastAsia="zh-CN"/>
        </w:rPr>
        <w:t>五</w:t>
      </w:r>
      <w:r>
        <w:rPr>
          <w:rFonts w:hint="eastAsia" w:ascii="华文中宋" w:hAnsi="华文中宋" w:eastAsia="华文中宋" w:cs="华文中宋"/>
          <w:bCs/>
          <w:sz w:val="32"/>
          <w:szCs w:val="32"/>
          <w:lang w:val="zh-CN" w:eastAsia="zh-CN"/>
        </w:rPr>
        <w:t>年</w:t>
      </w:r>
      <w:r>
        <w:rPr>
          <w:rFonts w:hint="eastAsia" w:ascii="华文中宋" w:hAnsi="华文中宋" w:eastAsia="华文中宋" w:cs="华文中宋"/>
          <w:bCs/>
          <w:sz w:val="32"/>
          <w:szCs w:val="32"/>
          <w:lang w:val="en-US" w:eastAsia="zh-CN"/>
        </w:rPr>
        <w:t>二</w:t>
      </w:r>
      <w:r>
        <w:rPr>
          <w:rFonts w:hint="eastAsia" w:ascii="华文中宋" w:hAnsi="华文中宋" w:eastAsia="华文中宋" w:cs="华文中宋"/>
          <w:bCs/>
          <w:sz w:val="32"/>
          <w:szCs w:val="32"/>
          <w:lang w:val="zh-CN" w:eastAsia="zh-CN"/>
        </w:rPr>
        <w:t>月</w:t>
      </w: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r>
        <w:rPr>
          <w:rFonts w:hint="eastAsia" w:ascii="华文中宋" w:hAnsi="华文中宋" w:eastAsia="华文中宋" w:cs="华文中宋"/>
          <w:b/>
          <w:bCs/>
          <w:sz w:val="44"/>
          <w:szCs w:val="44"/>
          <w:lang w:val="zh-CN" w:eastAsia="zh-CN"/>
        </w:rPr>
        <w:t>目</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lang w:val="zh-CN" w:eastAsia="zh-CN"/>
        </w:rPr>
        <w:t>录</w:t>
      </w:r>
    </w:p>
    <w:p>
      <w:pPr>
        <w:keepNext w:val="0"/>
        <w:keepLines w:val="0"/>
        <w:pageBreakBefore w:val="0"/>
        <w:widowControl/>
        <w:kinsoku/>
        <w:wordWrap/>
        <w:overflowPunct/>
        <w:topLinePunct w:val="0"/>
        <w:autoSpaceDE/>
        <w:autoSpaceDN/>
        <w:bidi w:val="0"/>
        <w:adjustRightInd/>
        <w:snapToGrid/>
        <w:spacing w:line="520" w:lineRule="exact"/>
        <w:ind w:firstLine="881" w:firstLineChars="200"/>
        <w:jc w:val="center"/>
        <w:textAlignment w:val="auto"/>
        <w:outlineLvl w:val="9"/>
        <w:rPr>
          <w:rFonts w:hint="eastAsia" w:ascii="华文中宋" w:hAnsi="华文中宋" w:eastAsia="华文中宋" w:cs="华文中宋"/>
          <w:b/>
          <w:bCs/>
          <w:sz w:val="44"/>
          <w:szCs w:val="44"/>
          <w:lang w:val="zh-CN" w:eastAsia="zh-CN"/>
        </w:rPr>
      </w:pP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zh-CN" w:eastAsia="zh-CN"/>
        </w:rPr>
        <w:t>一、研究生荣誉课</w:t>
      </w:r>
      <w:r>
        <w:rPr>
          <w:rFonts w:hint="eastAsia" w:ascii="仿宋_GB2312" w:hAnsi="仿宋_GB2312" w:eastAsia="仿宋_GB2312" w:cs="仿宋_GB2312"/>
          <w:b/>
          <w:bCs/>
          <w:sz w:val="32"/>
          <w:szCs w:val="32"/>
          <w:lang w:val="en-US" w:eastAsia="zh-CN"/>
        </w:rPr>
        <w:t>程</w:t>
      </w:r>
      <w:r>
        <w:rPr>
          <w:rFonts w:hint="eastAsia" w:ascii="仿宋_GB2312" w:hAnsi="仿宋_GB2312" w:eastAsia="仿宋_GB2312" w:cs="仿宋_GB2312"/>
          <w:b/>
          <w:bCs/>
          <w:sz w:val="32"/>
          <w:szCs w:val="32"/>
          <w:lang w:val="zh-CN" w:eastAsia="zh-CN"/>
        </w:rPr>
        <w:t>教学要求</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zh-CN" w:eastAsia="zh-CN"/>
        </w:rPr>
        <w:t>二、</w:t>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TOC \o "1-3" \h \u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 HYPERLINK \l _Toc28310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t>研究生荣誉课</w:t>
      </w:r>
      <w:r>
        <w:rPr>
          <w:rFonts w:hint="eastAsia" w:ascii="仿宋_GB2312" w:hAnsi="仿宋_GB2312" w:eastAsia="仿宋_GB2312" w:cs="仿宋_GB2312"/>
          <w:b/>
          <w:bCs/>
          <w:sz w:val="32"/>
          <w:szCs w:val="32"/>
          <w:lang w:val="en-US" w:eastAsia="zh-CN"/>
        </w:rPr>
        <w:t>程</w:t>
      </w:r>
      <w:r>
        <w:rPr>
          <w:rFonts w:hint="eastAsia" w:ascii="仿宋_GB2312" w:hAnsi="仿宋_GB2312" w:eastAsia="仿宋_GB2312" w:cs="仿宋_GB2312"/>
          <w:b/>
          <w:bCs/>
          <w:sz w:val="32"/>
          <w:szCs w:val="32"/>
          <w:lang w:val="zh-CN" w:eastAsia="zh-CN"/>
        </w:rPr>
        <w:t>安排表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zh-CN" w:eastAsia="zh-CN"/>
        </w:rPr>
        <w:t>三、</w:t>
      </w: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_Toc5549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en-US" w:eastAsia="zh-CN"/>
        </w:rPr>
        <w:t>研究生荣誉课程排课指南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8</w:t>
      </w:r>
      <w:r>
        <w:rPr>
          <w:rFonts w:hint="eastAsia" w:ascii="仿宋_GB2312" w:hAnsi="仿宋_GB2312" w:eastAsia="仿宋_GB2312" w:cs="仿宋_GB2312"/>
          <w:b/>
          <w:bCs w:val="0"/>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_Toc14426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zh-CN" w:eastAsia="zh-CN"/>
        </w:rPr>
        <w:t>四、研究生荣誉课</w:t>
      </w:r>
      <w:r>
        <w:rPr>
          <w:rFonts w:hint="eastAsia" w:ascii="仿宋_GB2312" w:hAnsi="仿宋_GB2312" w:eastAsia="仿宋_GB2312" w:cs="仿宋_GB2312"/>
          <w:b/>
          <w:bCs w:val="0"/>
          <w:sz w:val="32"/>
          <w:szCs w:val="32"/>
          <w:lang w:val="en-US" w:eastAsia="zh-CN"/>
        </w:rPr>
        <w:t>程</w:t>
      </w:r>
      <w:r>
        <w:rPr>
          <w:rFonts w:hint="eastAsia" w:ascii="仿宋_GB2312" w:hAnsi="仿宋_GB2312" w:eastAsia="仿宋_GB2312" w:cs="仿宋_GB2312"/>
          <w:b/>
          <w:bCs w:val="0"/>
          <w:sz w:val="32"/>
          <w:szCs w:val="32"/>
          <w:lang w:val="zh-CN" w:eastAsia="zh-CN"/>
        </w:rPr>
        <w:t>选课指南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9</w:t>
      </w:r>
      <w:r>
        <w:rPr>
          <w:rFonts w:hint="eastAsia" w:ascii="仿宋_GB2312" w:hAnsi="仿宋_GB2312" w:eastAsia="仿宋_GB2312" w:cs="仿宋_GB2312"/>
          <w:b/>
          <w:bCs w:val="0"/>
          <w:sz w:val="32"/>
          <w:szCs w:val="32"/>
          <w:lang w:val="zh-CN" w:eastAsia="zh-CN"/>
        </w:rPr>
        <w:fldChar w:fldCharType="end"/>
      </w:r>
    </w:p>
    <w:p>
      <w:pPr>
        <w:keepNext w:val="0"/>
        <w:keepLines w:val="0"/>
        <w:pageBreakBefore w:val="0"/>
        <w:widowControl w:val="0"/>
        <w:kinsoku/>
        <w:wordWrap/>
        <w:overflowPunct/>
        <w:topLinePunct w:val="0"/>
        <w:autoSpaceDE/>
        <w:autoSpaceDN/>
        <w:bidi w:val="0"/>
        <w:adjustRightInd/>
        <w:snapToGrid/>
        <w:spacing w:before="157" w:beforeLines="50" w:after="469" w:afterLines="15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sectPr>
          <w:footerReference r:id="rId5" w:type="default"/>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bCs/>
          <w:sz w:val="32"/>
          <w:szCs w:val="32"/>
          <w:lang w:val="zh-CN" w:eastAsia="zh-CN"/>
        </w:rPr>
        <w:fldChar w:fldCharType="end"/>
      </w: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jc w:val="both"/>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pPr>
      <w:r>
        <w:rPr>
          <w:rFonts w:hint="eastAsia" w:ascii="华文中宋" w:hAnsi="华文中宋" w:eastAsia="华文中宋" w:cs="华文中宋"/>
          <w:b/>
          <w:i w:val="0"/>
          <w:color w:val="000000"/>
          <w:kern w:val="0"/>
          <w:sz w:val="44"/>
          <w:szCs w:val="44"/>
          <w:u w:val="none"/>
          <w:lang w:val="en-US" w:eastAsia="zh-CN" w:bidi="ar"/>
        </w:rPr>
        <w:t>研究生荣誉课程教学要求</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各学院：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lang w:val="en-US" w:eastAsia="zh-CN"/>
        </w:rPr>
      </w:pPr>
      <w:r>
        <w:rPr>
          <w:rFonts w:hint="eastAsia" w:ascii="仿宋_GB2312" w:hAnsi="仿宋_GB2312" w:eastAsia="仿宋_GB2312" w:cs="仿宋_GB2312"/>
          <w:sz w:val="32"/>
          <w:szCs w:val="32"/>
          <w:lang w:val="en-US" w:eastAsia="zh-CN"/>
        </w:rPr>
        <w:t>为做好2024-2025学年第二学期研究生荣誉课程教学工作，现将有关事宜通知如下：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1.荣誉课程是针对学术学位硕士研究生开设的通识类公共选修课。</w:t>
      </w:r>
      <w:r>
        <w:rPr>
          <w:rFonts w:hint="eastAsia" w:ascii="仿宋_GB2312" w:hAnsi="仿宋_GB2312" w:eastAsia="仿宋_GB2312" w:cs="仿宋_GB2312"/>
          <w:color w:val="auto"/>
          <w:sz w:val="32"/>
          <w:szCs w:val="32"/>
          <w:lang w:val="en-US" w:eastAsia="zh-CN"/>
        </w:rPr>
        <w:t>本学期授课时间从2月26日开始，授课方式以线下授课为宜，授课时数为18学时。</w:t>
      </w:r>
    </w:p>
    <w:p>
      <w:pPr>
        <w:pStyle w:val="2"/>
        <w:rPr>
          <w:rFonts w:hint="default" w:eastAsia="仿宋_GB2312"/>
          <w:b w:val="0"/>
          <w:bCs w:val="0"/>
          <w:color w:val="auto"/>
          <w:lang w:val="en-US" w:eastAsia="zh-CN"/>
        </w:rPr>
      </w:pPr>
      <w:r>
        <w:rPr>
          <w:rFonts w:hint="eastAsia" w:ascii="仿宋_GB2312" w:hAnsi="仿宋_GB2312" w:cs="仿宋_GB2312"/>
          <w:b w:val="0"/>
          <w:bCs w:val="0"/>
          <w:color w:val="auto"/>
          <w:sz w:val="32"/>
          <w:szCs w:val="32"/>
          <w:lang w:val="en-US" w:eastAsia="zh-CN"/>
        </w:rPr>
        <w:t>2.研究生</w:t>
      </w:r>
      <w:r>
        <w:rPr>
          <w:rFonts w:hint="eastAsia" w:ascii="仿宋_GB2312" w:hAnsi="仿宋_GB2312"/>
          <w:b w:val="0"/>
          <w:bCs w:val="0"/>
          <w:color w:val="auto"/>
          <w:sz w:val="32"/>
          <w:lang w:val="en-US" w:eastAsia="zh-CN"/>
        </w:rPr>
        <w:t>不能选修本学院开设的荣誉课程。</w:t>
      </w:r>
      <w:r>
        <w:rPr>
          <w:rFonts w:hint="eastAsia" w:ascii="仿宋_GB2312" w:hAnsi="仿宋_GB2312" w:eastAsia="仿宋_GB2312"/>
          <w:b w:val="0"/>
          <w:bCs w:val="0"/>
          <w:color w:val="auto"/>
          <w:sz w:val="32"/>
        </w:rPr>
        <w:t>人文社会</w:t>
      </w:r>
      <w:r>
        <w:rPr>
          <w:rFonts w:hint="eastAsia" w:ascii="仿宋_GB2312" w:hAnsi="仿宋_GB2312"/>
          <w:b w:val="0"/>
          <w:bCs w:val="0"/>
          <w:color w:val="auto"/>
          <w:sz w:val="32"/>
          <w:lang w:val="en-US" w:eastAsia="zh-CN"/>
        </w:rPr>
        <w:t>科学类荣誉课程只能由自然科学学科研究生选课，</w:t>
      </w:r>
      <w:r>
        <w:rPr>
          <w:rFonts w:hint="eastAsia" w:ascii="仿宋_GB2312" w:hAnsi="仿宋_GB2312" w:eastAsia="仿宋_GB2312"/>
          <w:b w:val="0"/>
          <w:bCs w:val="0"/>
          <w:color w:val="auto"/>
          <w:sz w:val="32"/>
        </w:rPr>
        <w:t>自然科学类荣誉课程</w:t>
      </w:r>
      <w:r>
        <w:rPr>
          <w:rFonts w:hint="eastAsia" w:ascii="仿宋_GB2312" w:hAnsi="仿宋_GB2312"/>
          <w:b w:val="0"/>
          <w:bCs w:val="0"/>
          <w:color w:val="auto"/>
          <w:sz w:val="32"/>
          <w:lang w:val="en-US" w:eastAsia="zh-CN"/>
        </w:rPr>
        <w:t>只能由人文社会学科研究生选课，通选课程不限制研究生学科类型。具体要求详见《西北师范大学2024-2025学年研究生荣誉课程安排表》。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2.各学院于2月21日前在新系统完成荣誉课程排课，研究生选课时间为2月23日-25日，逾期选课系统将自动关闭。</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荣誉课程终期考核采取课程论文或开（闭）卷考试形式进行。课程考核成绩采用百分制，其中平时成绩占40%，终期考核成绩占60%。课程考核及其成绩由主讲教师或教学团队负责录入系统，课程考核作业、成绩单等教学资料由学院负责保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根据《西北师范大学高校教师教学工作量计算指导性意见》（2021年10月修订），研究生荣誉课，其教学工作量计算以教学计划规定的课程学时数为依据，以加权1.3进行计算。课程结束后，研究生院负责向人事处报送荣誉课程开课教师名单及课时，由财务处划拨经费到开课教师所在学院，由学院计算开课教师工作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5.荣誉课程实际选修人数少于20人的，则该门荣誉课程取消开设。如果该门荣誉课程连续两次因实际选修人数较少而取消开设，则取消学院开设荣誉课程的资格。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sectPr>
          <w:type w:val="continuous"/>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6.荣誉课程授课期间，研究生院会同研究生教学督导委员会委员对课程教学进行抽查。对于教学秩序较好、研究生认可度较高的荣誉课程，研究生院优先推荐为校级研究生精品课程予以立项建设。</w:t>
      </w:r>
    </w:p>
    <w:tbl>
      <w:tblPr>
        <w:tblStyle w:val="8"/>
        <w:tblW w:w="146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5"/>
        <w:gridCol w:w="2423"/>
        <w:gridCol w:w="2670"/>
        <w:gridCol w:w="1612"/>
        <w:gridCol w:w="1305"/>
        <w:gridCol w:w="3429"/>
        <w:gridCol w:w="1619"/>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jc w:val="center"/>
        </w:trPr>
        <w:tc>
          <w:tcPr>
            <w:tcW w:w="1461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方正小标宋简体" w:hAnsi="方正小标宋简体" w:eastAsia="方正小标宋简体" w:cs="方正小标宋简体"/>
                <w:b/>
                <w:bCs/>
                <w:i w:val="0"/>
                <w:iCs w:val="0"/>
                <w:color w:val="000000"/>
                <w:kern w:val="0"/>
                <w:sz w:val="32"/>
                <w:szCs w:val="32"/>
                <w:u w:val="none"/>
                <w:lang w:val="en-US" w:eastAsia="zh-CN" w:bidi="ar"/>
              </w:rPr>
              <w:t>西北师范大学2024-2025学年研究生荣誉课程安排表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课程名称</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课程类别</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课程性质</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任课教师</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选课学生专业</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开课学期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中国文学专题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韩高年、马世年、丁宏武、董芬芬、许琰、冉耀斌、韩伟、孙强、李生滨、李明德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历史文化学院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中国历史专题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秦丙坤、刘再聪、何玉红、田澍、尚季芳、李晓英、潘春辉、杨鹏飞、李家莉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心理学院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健康心理学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姜艳斐、朱雅雯、张继元、夏瑞雪、丁小斌、赵鑫、吴博</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马克思主义学院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中国特色大国外交</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曹亚斌、王树亮、左宏愿、袁维杰、姜潭</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哲学与社会学院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当代中国社会转型研究</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李怀、孙特生、 尹广文、巨浪</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哲学与社会学院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中国哲学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贺更粹、谢增虎、李永亮、张立恩、田希 、张海龙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外国语学院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外国文学的“人学”阐释</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张宝林、赵秀兰、李升炜、张焕香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舞蹈学院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舞蹈世界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马正国 王丹 关樱丽</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数学与统计学院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数学文化与数学史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徐有基、高承华</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物理与电子工程学院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改变人类生活的科学与技术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苏茂根、段文山、袁萍、裴东、祁云平、李燕、丁晓彬、蒋军、孙对兄</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地理与环境科学学院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地理视野</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赵军，张勃，张志斌，姚晓军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地理与环境科学学院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中国传统文化的现代化</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陈克恭</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教育技术学院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人工智能</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杨鸿武、郭威彤、卜小龙、宿庆、鲁小勇</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传媒学院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中外经典影片赏析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徐兆寿、杨光祖、赵丽瑾、丁松虎</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管理学院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申论与行政职业能力测验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实践类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张润君、王琪瑛、刘磊、杜怀玉、洪德山、杨锋、呼军艳、陈卉、杨丽云、马龙军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自然科学学科</w:t>
            </w:r>
            <w:r>
              <w:rPr>
                <w:rFonts w:hint="eastAsia" w:asciiTheme="minorHAnsi" w:hAnsiTheme="minorHAnsi" w:eastAsiaTheme="minorEastAsia" w:cstheme="minorBidi"/>
                <w:b w:val="0"/>
                <w:bCs w:val="0"/>
                <w:kern w:val="2"/>
                <w:sz w:val="21"/>
                <w:szCs w:val="24"/>
                <w:lang w:val="en-US" w:eastAsia="zh-CN" w:bidi="ar-SA"/>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3"/>
                <w:szCs w:val="13"/>
                <w:u w:val="none"/>
                <w:lang w:val="en-US" w:eastAsia="zh-CN" w:bidi="ar-SA"/>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教师教育学院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传统文化教育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赵晓霞、张永祥、马胜科、陈建海、杨恩泽</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法学院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法律智慧与社会生活 </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杜睿哲、王勇、车亮亮等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音乐学院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聆听音乐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陈建红、马瑜慧、赵鹏、张大军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中外美术鉴赏与文化重构</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通选课程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王玉芳、牛国栋、张国荣、张学忠、关维祥</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计算机科学与工程学院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数据分析与挖掘技术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魏伟一、蔺想红、杨小东</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生命科学学院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奇妙的生命</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孙坤、张世虎、宁应之、孔维宝、杨宁、张腾国、冯汉青、王俊龙、李建真</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旅游学院</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国际文化交流学院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丝绸之路旅游文化</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冯玉新、欧阳正宇、魏梓秋、安智海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13"/>
                <w:szCs w:val="13"/>
                <w:u w:val="none"/>
                <w:lang w:val="en-US" w:eastAsia="zh-CN" w:bidi="ar"/>
              </w:rPr>
              <w:t>第二学期</w:t>
            </w:r>
          </w:p>
        </w:tc>
      </w:tr>
    </w:tbl>
    <w:p>
      <w:pPr>
        <w:pStyle w:val="3"/>
        <w:rPr>
          <w:rFonts w:hint="eastAsia"/>
          <w:lang w:val="en-US" w:eastAsia="zh-CN"/>
        </w:rPr>
      </w:pPr>
    </w:p>
    <w:p>
      <w:pPr>
        <w:pStyle w:val="3"/>
        <w:rPr>
          <w:rFonts w:hint="eastAsia"/>
          <w:lang w:val="en-US" w:eastAsia="zh-CN"/>
        </w:rPr>
      </w:pPr>
    </w:p>
    <w:p>
      <w:pPr>
        <w:pStyle w:val="3"/>
        <w:rPr>
          <w:rFonts w:hint="eastAsia"/>
          <w:lang w:val="en-US" w:eastAsia="zh-CN"/>
        </w:rPr>
        <w:sectPr>
          <w:type w:val="continuous"/>
          <w:pgSz w:w="16838" w:h="11906" w:orient="landscape"/>
          <w:pgMar w:top="1587" w:right="1304" w:bottom="1531" w:left="1304" w:header="851" w:footer="992" w:gutter="0"/>
          <w:pgNumType w:fmt="numberInDash"/>
          <w:cols w:space="425" w:num="1"/>
          <w:docGrid w:type="lines" w:linePitch="312" w:charSpace="0"/>
        </w:sectPr>
      </w:pPr>
    </w:p>
    <w:p>
      <w:pPr>
        <w:numPr>
          <w:ilvl w:val="0"/>
          <w:numId w:val="0"/>
        </w:numPr>
        <w:ind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三、学院排课操作流程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1.在课程信息维护中对荣誉课程进行维护，确认课程类型选择为“荣誉课程”，并填写好“课程简介”，以便学生选课时查看。</w:t>
      </w:r>
    </w:p>
    <w:p>
      <w:pPr>
        <w:pStyle w:val="2"/>
        <w:rPr>
          <w:rFonts w:hint="default"/>
          <w:lang w:val="en-US" w:eastAsia="zh-CN"/>
        </w:rPr>
      </w:pPr>
      <w:r>
        <w:drawing>
          <wp:anchor distT="0" distB="0" distL="114300" distR="114300" simplePos="0" relativeHeight="251662336" behindDoc="0" locked="0" layoutInCell="1" allowOverlap="1">
            <wp:simplePos x="0" y="0"/>
            <wp:positionH relativeFrom="column">
              <wp:posOffset>97790</wp:posOffset>
            </wp:positionH>
            <wp:positionV relativeFrom="paragraph">
              <wp:posOffset>156845</wp:posOffset>
            </wp:positionV>
            <wp:extent cx="5569585" cy="1993265"/>
            <wp:effectExtent l="0" t="0" r="635" b="381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569585" cy="1993265"/>
                    </a:xfrm>
                    <a:prstGeom prst="rect">
                      <a:avLst/>
                    </a:prstGeom>
                    <a:noFill/>
                    <a:ln>
                      <a:noFill/>
                    </a:ln>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进入专业课排课，新增该课程。班级名称维护为：</w:t>
      </w:r>
      <w:r>
        <w:rPr>
          <w:rFonts w:hint="eastAsia" w:ascii="仿宋_GB2312" w:hAnsi="仿宋_GB2312" w:eastAsia="仿宋_GB2312" w:cs="仿宋_GB2312"/>
          <w:b/>
          <w:bCs/>
          <w:color w:val="FF0000"/>
          <w:sz w:val="32"/>
          <w:szCs w:val="32"/>
          <w:lang w:val="en-US" w:eastAsia="zh-CN"/>
        </w:rPr>
        <w:t>荣誉课—课程名称；</w:t>
      </w:r>
    </w:p>
    <w:p>
      <w:pPr>
        <w:pStyle w:val="2"/>
        <w:rPr>
          <w:rFonts w:hint="eastAsia" w:ascii="仿宋_GB2312" w:hAnsi="仿宋_GB2312" w:eastAsia="仿宋_GB2312" w:cs="仿宋_GB2312"/>
          <w:b w:val="0"/>
          <w:bCs w:val="0"/>
          <w:color w:val="FF0000"/>
          <w:kern w:val="2"/>
          <w:sz w:val="32"/>
          <w:szCs w:val="32"/>
          <w:lang w:val="en-US" w:eastAsia="zh-CN" w:bidi="ar-SA"/>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drawing>
          <wp:anchor distT="0" distB="0" distL="114300" distR="114300" simplePos="0" relativeHeight="251663360" behindDoc="0" locked="0" layoutInCell="1" allowOverlap="1">
            <wp:simplePos x="0" y="0"/>
            <wp:positionH relativeFrom="column">
              <wp:posOffset>130175</wp:posOffset>
            </wp:positionH>
            <wp:positionV relativeFrom="paragraph">
              <wp:posOffset>61595</wp:posOffset>
            </wp:positionV>
            <wp:extent cx="5575300" cy="1834515"/>
            <wp:effectExtent l="0" t="0" r="5715" b="635"/>
            <wp:wrapTopAndBottom/>
            <wp:docPr id="4" name="图片 4" descr="7a642dc95c83adf0f2cb296b6114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a642dc95c83adf0f2cb296b61145f9"/>
                    <pic:cNvPicPr>
                      <a:picLocks noChangeAspect="1"/>
                    </pic:cNvPicPr>
                  </pic:nvPicPr>
                  <pic:blipFill>
                    <a:blip r:embed="rId9"/>
                    <a:stretch>
                      <a:fillRect/>
                    </a:stretch>
                  </pic:blipFill>
                  <pic:spPr>
                    <a:xfrm>
                      <a:off x="0" y="0"/>
                      <a:ext cx="5575300" cy="1834515"/>
                    </a:xfrm>
                    <a:prstGeom prst="rect">
                      <a:avLst/>
                    </a:prstGeom>
                  </pic:spPr>
                </pic:pic>
              </a:graphicData>
            </a:graphic>
          </wp:anchor>
        </w:drawing>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根据《荣誉课课程安排表》中选课学生专业设置</w:t>
      </w:r>
      <w:r>
        <w:rPr>
          <w:rFonts w:hint="eastAsia" w:ascii="仿宋_GB2312" w:hAnsi="仿宋_GB2312" w:eastAsia="仿宋_GB2312" w:cs="仿宋_GB2312"/>
          <w:b w:val="0"/>
          <w:bCs w:val="0"/>
          <w:color w:val="FF0000"/>
          <w:kern w:val="2"/>
          <w:sz w:val="32"/>
          <w:szCs w:val="32"/>
          <w:lang w:val="en-US" w:eastAsia="zh-CN" w:bidi="ar-SA"/>
        </w:rPr>
        <w:t>“适用专业”，选择学生类别为“全日制学术学位硕士研究生”，将选取学院的全部专业移入“已选专业”。</w:t>
      </w:r>
    </w:p>
    <w:p>
      <w:pPr>
        <w:rPr>
          <w:rFonts w:hint="eastAsia"/>
          <w:lang w:val="en-US" w:eastAsia="zh-CN"/>
        </w:rPr>
      </w:pPr>
      <w:r>
        <w:rPr>
          <w:rFonts w:hint="default"/>
          <w:lang w:val="en-US" w:eastAsia="zh-CN"/>
        </w:rPr>
        <w:drawing>
          <wp:inline distT="0" distB="0" distL="114300" distR="114300">
            <wp:extent cx="5576570" cy="3023870"/>
            <wp:effectExtent l="0" t="0" r="4445" b="9525"/>
            <wp:docPr id="7" name="图片 7" descr="55b90cc6d4c9357ae5eedc9e68fe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b90cc6d4c9357ae5eedc9e68fef03"/>
                    <pic:cNvPicPr>
                      <a:picLocks noChangeAspect="1"/>
                    </pic:cNvPicPr>
                  </pic:nvPicPr>
                  <pic:blipFill>
                    <a:blip r:embed="rId10"/>
                    <a:stretch>
                      <a:fillRect/>
                    </a:stretch>
                  </pic:blipFill>
                  <pic:spPr>
                    <a:xfrm>
                      <a:off x="0" y="0"/>
                      <a:ext cx="5576570" cy="3023870"/>
                    </a:xfrm>
                    <a:prstGeom prst="rect">
                      <a:avLst/>
                    </a:prstGeom>
                  </pic:spPr>
                </pic:pic>
              </a:graphicData>
            </a:graphic>
          </wp:inline>
        </w:drawing>
      </w:r>
    </w:p>
    <w:p>
      <w:pPr>
        <w:pStyle w:val="2"/>
        <w:rPr>
          <w:rFonts w:hint="default"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cs="仿宋_GB2312"/>
          <w:b/>
          <w:bCs/>
          <w:color w:val="FF0000"/>
          <w:kern w:val="2"/>
          <w:sz w:val="32"/>
          <w:szCs w:val="32"/>
          <w:lang w:val="en-US" w:eastAsia="zh-CN" w:bidi="ar-SA"/>
        </w:rPr>
        <w:t>开设自然科学类课程的学院，</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选择</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：文学院、历史文化学院、教育科学学院、心理学院、马克思主义学院、哲学与社会学院、经济学院、法学院、管理学院、外语学院、音乐学院、舞蹈学院、美术学院、体育学院、传媒学院、旅游学院</w:t>
      </w:r>
      <w:r>
        <w:rPr>
          <w:rFonts w:hint="eastAsia" w:ascii="仿宋_GB2312" w:hAnsi="仿宋_GB2312" w:cs="仿宋_GB2312"/>
          <w:b/>
          <w:bCs/>
          <w:color w:val="000000" w:themeColor="text1"/>
          <w:kern w:val="2"/>
          <w:sz w:val="32"/>
          <w:szCs w:val="32"/>
          <w:lang w:val="en-US" w:eastAsia="zh-CN" w:bidi="ar-SA"/>
          <w14:textFill>
            <w14:solidFill>
              <w14:schemeClr w14:val="tx1"/>
            </w14:solidFill>
          </w14:textFill>
        </w:rPr>
        <w:t>学术硕士</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所有专业为适用专业；</w:t>
      </w:r>
    </w:p>
    <w:p>
      <w:pPr>
        <w:pStyle w:val="2"/>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cs="仿宋_GB2312"/>
          <w:b/>
          <w:bCs/>
          <w:color w:val="FF0000"/>
          <w:kern w:val="2"/>
          <w:sz w:val="32"/>
          <w:szCs w:val="32"/>
          <w:lang w:val="en-US" w:eastAsia="zh-CN" w:bidi="ar-SA"/>
        </w:rPr>
        <w:t>开设人文科学类课程的学院</w:t>
      </w:r>
      <w:r>
        <w:rPr>
          <w:rFonts w:hint="eastAsia" w:ascii="仿宋_GB2312" w:hAnsi="仿宋_GB2312" w:cs="仿宋_GB2312"/>
          <w:b w:val="0"/>
          <w:bCs w:val="0"/>
          <w:color w:val="FF0000"/>
          <w:kern w:val="2"/>
          <w:sz w:val="32"/>
          <w:szCs w:val="32"/>
          <w:lang w:val="en-US" w:eastAsia="zh-CN" w:bidi="ar-SA"/>
        </w:rPr>
        <w:t>，</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选择：</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数学与统计学院、计算机科学与工程学院、物理与电子工程学院、化学化工学院、生命科学学院、地理与环境科学学院、教育技术学院</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学术硕士</w:t>
      </w:r>
      <w:r>
        <w:rPr>
          <w:rFonts w:hint="eastAsia" w:ascii="仿宋_GB2312" w:hAnsi="仿宋_GB2312" w:cs="仿宋_GB2312"/>
          <w:b/>
          <w:bCs/>
          <w:color w:val="000000" w:themeColor="text1"/>
          <w:kern w:val="2"/>
          <w:sz w:val="32"/>
          <w:szCs w:val="32"/>
          <w:lang w:val="en-US" w:eastAsia="zh-CN" w:bidi="ar-SA"/>
          <w14:textFill>
            <w14:solidFill>
              <w14:schemeClr w14:val="tx1"/>
            </w14:solidFill>
          </w14:textFill>
        </w:rPr>
        <w:t>和计算机学院专业硕士</w:t>
      </w:r>
      <w:r>
        <w:rPr>
          <w:rFonts w:hint="eastAsia" w:ascii="仿宋_GB2312" w:hAnsi="仿宋_GB2312" w:cs="仿宋_GB2312"/>
          <w:b w:val="0"/>
          <w:bCs w:val="0"/>
          <w:color w:val="000000" w:themeColor="text1"/>
          <w:kern w:val="2"/>
          <w:sz w:val="32"/>
          <w:szCs w:val="32"/>
          <w:lang w:val="en-US" w:eastAsia="zh-CN" w:bidi="ar-SA"/>
          <w14:textFill>
            <w14:solidFill>
              <w14:schemeClr w14:val="tx1"/>
            </w14:solidFill>
          </w14:textFill>
        </w:rPr>
        <w:t>所有专业为适用专业</w:t>
      </w: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w:t>
      </w:r>
      <w:bookmarkStart w:id="0" w:name="_GoBack"/>
      <w:bookmarkEnd w:id="0"/>
    </w:p>
    <w:p>
      <w:pPr>
        <w:rPr>
          <w:rFonts w:hint="default"/>
          <w:b/>
          <w:bCs/>
          <w:lang w:val="en-US" w:eastAsia="zh-CN"/>
        </w:rPr>
      </w:pPr>
      <w:r>
        <w:rPr>
          <w:rFonts w:hint="eastAsia" w:ascii="仿宋_GB2312" w:hAnsi="仿宋_GB2312" w:eastAsia="仿宋_GB2312" w:cs="仿宋_GB2312"/>
          <w:b w:val="0"/>
          <w:bCs w:val="0"/>
          <w:color w:val="000000" w:themeColor="text1"/>
          <w:kern w:val="2"/>
          <w:sz w:val="32"/>
          <w:szCs w:val="32"/>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FF0000"/>
          <w:kern w:val="2"/>
          <w:sz w:val="32"/>
          <w:szCs w:val="32"/>
          <w:lang w:val="en-US" w:eastAsia="zh-CN" w:bidi="ar-SA"/>
        </w:rPr>
        <w:t xml:space="preserve"> </w:t>
      </w:r>
      <w:r>
        <w:rPr>
          <w:rFonts w:hint="eastAsia" w:ascii="仿宋_GB2312" w:hAnsi="仿宋_GB2312" w:eastAsia="仿宋_GB2312" w:cs="仿宋_GB2312"/>
          <w:b/>
          <w:bCs/>
          <w:color w:val="FF0000"/>
          <w:kern w:val="2"/>
          <w:sz w:val="32"/>
          <w:szCs w:val="32"/>
          <w:lang w:val="en-US" w:eastAsia="zh-CN" w:bidi="ar-SA"/>
        </w:rPr>
        <w:t xml:space="preserve"> 开设通选课程的学院，</w:t>
      </w:r>
      <w:r>
        <w:rPr>
          <w:rFonts w:hint="eastAsia" w:ascii="仿宋_GB2312" w:hAnsi="仿宋_GB2312" w:eastAsia="仿宋_GB2312" w:cs="仿宋_GB2312"/>
          <w:b/>
          <w:bCs/>
          <w:color w:val="000000" w:themeColor="text1"/>
          <w:kern w:val="2"/>
          <w:sz w:val="32"/>
          <w:szCs w:val="32"/>
          <w:lang w:val="en-US" w:eastAsia="zh-CN" w:bidi="ar-SA"/>
          <w14:textFill>
            <w14:solidFill>
              <w14:schemeClr w14:val="tx1"/>
            </w14:solidFill>
          </w14:textFill>
        </w:rPr>
        <w:t>选择所有学院学术硕士和计算机学院专业硕士所有专业为适用专业。</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荣誉课为18学时，原则上第三周开始上课，上课地点及时间由学院安排，课堂容量60-80人，设定为“网上选课”。</w:t>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四、学生选课操作流程</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（一）选课对象</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2024级学术硕士、计算机学院专业硕士以及需要补休或重修的往届学术硕士。</w:t>
      </w:r>
      <w:r>
        <w:rPr>
          <w:rFonts w:hint="eastAsia" w:ascii="仿宋_GB2312" w:hAnsi="仿宋_GB2312" w:eastAsia="仿宋_GB2312" w:cs="仿宋_GB2312"/>
          <w:color w:val="auto"/>
          <w:sz w:val="32"/>
          <w:szCs w:val="32"/>
          <w:lang w:val="en-US" w:eastAsia="zh-CN"/>
        </w:rPr>
        <w:t>研究生不能选修本学院开设的荣誉课程，对选课研究生所学专业的具体要求详见《西北师范大学2024-2025学年研究生荣誉课课程安排表》。</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（二）选课时间</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w:t>
      </w:r>
      <w:r>
        <w:rPr>
          <w:rFonts w:hint="eastAsia" w:ascii="仿宋_GB2312" w:hAnsi="仿宋_GB2312" w:eastAsia="仿宋_GB2312" w:cs="仿宋_GB2312"/>
          <w:color w:val="auto"/>
          <w:sz w:val="32"/>
          <w:szCs w:val="32"/>
          <w:lang w:val="en-US" w:eastAsia="zh-CN"/>
        </w:rPr>
        <w:t>2月23日—25日</w:t>
      </w:r>
      <w:r>
        <w:rPr>
          <w:rFonts w:hint="eastAsia" w:ascii="仿宋_GB2312" w:hAnsi="仿宋_GB2312" w:eastAsia="仿宋_GB2312" w:cs="仿宋_GB2312"/>
          <w:sz w:val="32"/>
          <w:szCs w:val="32"/>
          <w:lang w:val="en-US" w:eastAsia="zh-CN"/>
        </w:rPr>
        <w:t>，逾期选课系统将自动关闭。2月26日起，本学期荣誉课程正式开课。</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（三）选课要求</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生选课前应征询导师意见，根据专业学习需要选择课程。每名学术型硕士研究生必须选修1门荣誉课程，并计入学分。荣誉课程学习必须在第一学年内完成，若第一学期没有选修荣誉课程，研究生应在第二学期选修；若同时对多门荣誉课程感兴趣，应在系统中选择最有意向的1门荣誉课程，其他有修读兴趣的研究生可在其课程教室容纳量充足的情况下以旁听形式参加课程学习，但不计入学分。</w:t>
      </w:r>
    </w:p>
    <w:p>
      <w:pPr>
        <w:keepNext w:val="0"/>
        <w:keepLines w:val="0"/>
        <w:pageBreakBefore w:val="0"/>
        <w:widowControl/>
        <w:kinsoku/>
        <w:wordWrap/>
        <w:overflowPunct/>
        <w:topLinePunct w:val="0"/>
        <w:autoSpaceDE/>
        <w:autoSpaceDN/>
        <w:bidi w:val="0"/>
        <w:adjustRightInd/>
        <w:snapToGrid/>
        <w:spacing w:line="54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（四）选课操作步骤</w:t>
      </w:r>
    </w:p>
    <w:p>
      <w:pPr>
        <w:pStyle w:val="2"/>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登录新研究生管理系统——培养管理——学生网上选课——计划外选课——选择开课学院——选择带有“荣誉课”名称的课程</w:t>
      </w:r>
    </w:p>
    <w:p>
      <w:pPr>
        <w:rPr>
          <w:rFonts w:hint="default"/>
          <w:lang w:val="en-US" w:eastAsia="zh-CN"/>
        </w:rPr>
      </w:pPr>
      <w:r>
        <w:rPr>
          <w:rFonts w:hint="default"/>
          <w:lang w:val="en-US" w:eastAsia="zh-CN"/>
        </w:rPr>
        <w:drawing>
          <wp:inline distT="0" distB="0" distL="114300" distR="114300">
            <wp:extent cx="5577840" cy="2678430"/>
            <wp:effectExtent l="0" t="0" r="3175" b="9525"/>
            <wp:docPr id="8" name="图片 8" descr="16f62ec44676ca7fb710f74cc79e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f62ec44676ca7fb710f74cc79e328"/>
                    <pic:cNvPicPr>
                      <a:picLocks noChangeAspect="1"/>
                    </pic:cNvPicPr>
                  </pic:nvPicPr>
                  <pic:blipFill>
                    <a:blip r:embed="rId11"/>
                    <a:stretch>
                      <a:fillRect/>
                    </a:stretch>
                  </pic:blipFill>
                  <pic:spPr>
                    <a:xfrm>
                      <a:off x="0" y="0"/>
                      <a:ext cx="5577840" cy="2678430"/>
                    </a:xfrm>
                    <a:prstGeom prst="rect">
                      <a:avLst/>
                    </a:prstGeom>
                  </pic:spPr>
                </pic:pic>
              </a:graphicData>
            </a:graphic>
          </wp:inline>
        </w:drawing>
      </w:r>
    </w:p>
    <w:p>
      <w:pPr>
        <w:pStyle w:val="2"/>
        <w:numPr>
          <w:ilvl w:val="0"/>
          <w:numId w:val="0"/>
        </w:numPr>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选课开放期间如需更换课程，直接点击“退选”，重新选课即可。选课成功后，可在学生课表查询中看到该课程信息。</w:t>
      </w:r>
    </w:p>
    <w:p>
      <w:pPr>
        <w:numPr>
          <w:ilvl w:val="0"/>
          <w:numId w:val="0"/>
        </w:numPr>
        <w:ind w:leftChars="200"/>
      </w:pPr>
    </w:p>
    <w:p>
      <w:pPr>
        <w:numPr>
          <w:ilvl w:val="0"/>
          <w:numId w:val="0"/>
        </w:numPr>
        <w:ind w:leftChars="200"/>
        <w:rPr>
          <w:rFonts w:hint="default"/>
          <w:lang w:val="en-US" w:eastAsia="zh-CN"/>
        </w:rPr>
      </w:pPr>
      <w:r>
        <w:drawing>
          <wp:inline distT="0" distB="0" distL="114300" distR="114300">
            <wp:extent cx="5579745" cy="264223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rcRect b="35348"/>
                    <a:stretch>
                      <a:fillRect/>
                    </a:stretch>
                  </pic:blipFill>
                  <pic:spPr>
                    <a:xfrm>
                      <a:off x="0" y="0"/>
                      <a:ext cx="5579745" cy="2642235"/>
                    </a:xfrm>
                    <a:prstGeom prst="rect">
                      <a:avLst/>
                    </a:prstGeom>
                    <a:noFill/>
                    <a:ln>
                      <a:noFill/>
                    </a:ln>
                  </pic:spPr>
                </pic:pic>
              </a:graphicData>
            </a:graphic>
          </wp:inline>
        </w:drawing>
      </w:r>
    </w:p>
    <w:p>
      <w:pPr>
        <w:rPr>
          <w:rFonts w:hint="default"/>
          <w:lang w:val="en-US" w:eastAsia="zh-CN"/>
        </w:rPr>
      </w:pPr>
    </w:p>
    <w:p>
      <w:pPr>
        <w:numPr>
          <w:ilvl w:val="0"/>
          <w:numId w:val="0"/>
        </w:numPr>
        <w:ind w:leftChars="0"/>
        <w:jc w:val="both"/>
      </w:pPr>
    </w:p>
    <w:p>
      <w:pPr>
        <w:rPr>
          <w:rFonts w:hint="default"/>
          <w:lang w:val="en-US" w:eastAsia="zh-CN"/>
        </w:rPr>
      </w:pPr>
    </w:p>
    <w:sectPr>
      <w:pgSz w:w="11906" w:h="16838"/>
      <w:pgMar w:top="1304" w:right="1531" w:bottom="130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85AF21-9BDD-4630-A29E-43F5096308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9B4381CB-262B-4F8C-B996-357F7C6C77A8}"/>
  </w:font>
  <w:font w:name="仿宋_GB2312">
    <w:panose1 w:val="02010609030101010101"/>
    <w:charset w:val="86"/>
    <w:family w:val="modern"/>
    <w:pitch w:val="default"/>
    <w:sig w:usb0="00000001" w:usb1="080E0000" w:usb2="00000000" w:usb3="00000000" w:csb0="00040000" w:csb1="00000000"/>
    <w:embedRegular r:id="rId3" w:fontKey="{A94DD444-E6DF-4293-AE5D-89AFB8B65A6B}"/>
  </w:font>
  <w:font w:name="华文中宋">
    <w:panose1 w:val="02010600040101010101"/>
    <w:charset w:val="86"/>
    <w:family w:val="auto"/>
    <w:pitch w:val="default"/>
    <w:sig w:usb0="00000287" w:usb1="080F0000" w:usb2="00000000" w:usb3="00000000" w:csb0="0004009F" w:csb1="DFD70000"/>
    <w:embedRegular r:id="rId4" w:fontKey="{5CB2D631-2ED0-4D60-B3A1-3D3B1974E751}"/>
  </w:font>
  <w:font w:name="方正大标宋简体">
    <w:panose1 w:val="02010601030101010101"/>
    <w:charset w:val="86"/>
    <w:family w:val="script"/>
    <w:pitch w:val="default"/>
    <w:sig w:usb0="00000001" w:usb1="080E0000" w:usb2="00000000" w:usb3="00000000" w:csb0="00040000" w:csb1="00000000"/>
  </w:font>
  <w:font w:name="方正书宋_GBK">
    <w:altName w:val="微软雅黑"/>
    <w:panose1 w:val="03000509000000000000"/>
    <w:charset w:val="86"/>
    <w:family w:val="auto"/>
    <w:pitch w:val="default"/>
    <w:sig w:usb0="00000000" w:usb1="00000000" w:usb2="00000000" w:usb3="00000000" w:csb0="00040000" w:csb1="00000000"/>
    <w:embedRegular r:id="rId5" w:fontKey="{9D723C6C-2A1E-4F76-9BE8-5919EB3A38EB}"/>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3065145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1.35pt;height:144pt;width:144pt;mso-position-horizontal:center;mso-position-horizontal-relative:margin;mso-wrap-style:none;z-index:251659264;mso-width-relative:page;mso-height-relative:page;" filled="f" stroked="f" coordsize="21600,21600" o:gfxdata="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nT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08237"/>
    <w:multiLevelType w:val="singleLevel"/>
    <w:tmpl w:val="05F08237"/>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yMGE1NGMyMGU0OWMwODc4YmYyODQ2YjUxZGY0NWEifQ=="/>
    <w:docVar w:name="KSO_WPS_MARK_KEY" w:val="f6ffed55-1a92-441f-8069-9a8597ee192e"/>
  </w:docVars>
  <w:rsids>
    <w:rsidRoot w:val="5B9E5379"/>
    <w:rsid w:val="005D4603"/>
    <w:rsid w:val="00706E0C"/>
    <w:rsid w:val="025D53A5"/>
    <w:rsid w:val="02812DCB"/>
    <w:rsid w:val="0281613A"/>
    <w:rsid w:val="03B07801"/>
    <w:rsid w:val="049D7028"/>
    <w:rsid w:val="05AF334C"/>
    <w:rsid w:val="08055CAB"/>
    <w:rsid w:val="090B3338"/>
    <w:rsid w:val="091C4C21"/>
    <w:rsid w:val="09BB20A2"/>
    <w:rsid w:val="0AB17E4A"/>
    <w:rsid w:val="0B966BBB"/>
    <w:rsid w:val="0BD80E57"/>
    <w:rsid w:val="0CBE46D4"/>
    <w:rsid w:val="0D572C66"/>
    <w:rsid w:val="0D8F13BF"/>
    <w:rsid w:val="0E54751F"/>
    <w:rsid w:val="0E807FE3"/>
    <w:rsid w:val="0F3E1C3F"/>
    <w:rsid w:val="11D67625"/>
    <w:rsid w:val="14136D97"/>
    <w:rsid w:val="147662C7"/>
    <w:rsid w:val="14C67120"/>
    <w:rsid w:val="15632263"/>
    <w:rsid w:val="161B669A"/>
    <w:rsid w:val="17560F77"/>
    <w:rsid w:val="1818390C"/>
    <w:rsid w:val="181A4511"/>
    <w:rsid w:val="18861B21"/>
    <w:rsid w:val="197D336C"/>
    <w:rsid w:val="19F51BDB"/>
    <w:rsid w:val="1E4B3281"/>
    <w:rsid w:val="1E7A1431"/>
    <w:rsid w:val="20E001B5"/>
    <w:rsid w:val="217961F0"/>
    <w:rsid w:val="21863561"/>
    <w:rsid w:val="21AF77C9"/>
    <w:rsid w:val="21E336E8"/>
    <w:rsid w:val="22655B53"/>
    <w:rsid w:val="22D86934"/>
    <w:rsid w:val="22DD1BD0"/>
    <w:rsid w:val="24423F94"/>
    <w:rsid w:val="27597675"/>
    <w:rsid w:val="27E97DCE"/>
    <w:rsid w:val="28240B4E"/>
    <w:rsid w:val="28692369"/>
    <w:rsid w:val="286E6CFF"/>
    <w:rsid w:val="29EE6261"/>
    <w:rsid w:val="2A427318"/>
    <w:rsid w:val="2A4B64CE"/>
    <w:rsid w:val="2B6A19C9"/>
    <w:rsid w:val="2BD57F25"/>
    <w:rsid w:val="2DB9225D"/>
    <w:rsid w:val="2DCC6B12"/>
    <w:rsid w:val="2E0B641F"/>
    <w:rsid w:val="30C71001"/>
    <w:rsid w:val="30D1567F"/>
    <w:rsid w:val="312A373B"/>
    <w:rsid w:val="315A0A90"/>
    <w:rsid w:val="323E4A35"/>
    <w:rsid w:val="33546B2C"/>
    <w:rsid w:val="339F0D2C"/>
    <w:rsid w:val="3474252B"/>
    <w:rsid w:val="349A13A6"/>
    <w:rsid w:val="34B23FB4"/>
    <w:rsid w:val="36175C53"/>
    <w:rsid w:val="36A93B22"/>
    <w:rsid w:val="36D6068F"/>
    <w:rsid w:val="37A9474D"/>
    <w:rsid w:val="37BB0E92"/>
    <w:rsid w:val="385A2AF9"/>
    <w:rsid w:val="39F43287"/>
    <w:rsid w:val="3A814617"/>
    <w:rsid w:val="3AE55824"/>
    <w:rsid w:val="3B6571DE"/>
    <w:rsid w:val="3BC7102E"/>
    <w:rsid w:val="3C3B356A"/>
    <w:rsid w:val="3E096DDF"/>
    <w:rsid w:val="3F36644A"/>
    <w:rsid w:val="402E6E2D"/>
    <w:rsid w:val="41EF3B6B"/>
    <w:rsid w:val="4223511B"/>
    <w:rsid w:val="4286740D"/>
    <w:rsid w:val="42C81C4B"/>
    <w:rsid w:val="43B43356"/>
    <w:rsid w:val="44E328F5"/>
    <w:rsid w:val="45270380"/>
    <w:rsid w:val="45731BA9"/>
    <w:rsid w:val="45EB513A"/>
    <w:rsid w:val="461C5F1F"/>
    <w:rsid w:val="463D7C0A"/>
    <w:rsid w:val="464D6106"/>
    <w:rsid w:val="467F6D2F"/>
    <w:rsid w:val="46C75D6B"/>
    <w:rsid w:val="47896B77"/>
    <w:rsid w:val="47B23FC7"/>
    <w:rsid w:val="488C6E00"/>
    <w:rsid w:val="49066149"/>
    <w:rsid w:val="4B0C1704"/>
    <w:rsid w:val="50D6068E"/>
    <w:rsid w:val="510510F3"/>
    <w:rsid w:val="52C72D37"/>
    <w:rsid w:val="52FA0CD4"/>
    <w:rsid w:val="531F2786"/>
    <w:rsid w:val="53AB301B"/>
    <w:rsid w:val="578A30A4"/>
    <w:rsid w:val="58886950"/>
    <w:rsid w:val="58894356"/>
    <w:rsid w:val="58D478D4"/>
    <w:rsid w:val="58E37EA8"/>
    <w:rsid w:val="59815DE1"/>
    <w:rsid w:val="59F14D15"/>
    <w:rsid w:val="5A0F4764"/>
    <w:rsid w:val="5B9E5379"/>
    <w:rsid w:val="5C1B5AF1"/>
    <w:rsid w:val="5C8B34F4"/>
    <w:rsid w:val="5D137AEC"/>
    <w:rsid w:val="5EFD29E2"/>
    <w:rsid w:val="5F5A7723"/>
    <w:rsid w:val="5FE13A7D"/>
    <w:rsid w:val="60500C77"/>
    <w:rsid w:val="60F8156D"/>
    <w:rsid w:val="612E7ADB"/>
    <w:rsid w:val="62436329"/>
    <w:rsid w:val="62D939B5"/>
    <w:rsid w:val="62ED0951"/>
    <w:rsid w:val="64977952"/>
    <w:rsid w:val="64E175D3"/>
    <w:rsid w:val="65712465"/>
    <w:rsid w:val="676D6F57"/>
    <w:rsid w:val="68603A3C"/>
    <w:rsid w:val="689F29E1"/>
    <w:rsid w:val="69FD624A"/>
    <w:rsid w:val="6AE64F44"/>
    <w:rsid w:val="6BDD7C29"/>
    <w:rsid w:val="6BF2432A"/>
    <w:rsid w:val="6C7E2139"/>
    <w:rsid w:val="6D6A65C1"/>
    <w:rsid w:val="6E9467FB"/>
    <w:rsid w:val="6F2B4E0E"/>
    <w:rsid w:val="706F7A91"/>
    <w:rsid w:val="71951106"/>
    <w:rsid w:val="71CA4371"/>
    <w:rsid w:val="724D39FC"/>
    <w:rsid w:val="74520DBB"/>
    <w:rsid w:val="74602A18"/>
    <w:rsid w:val="758969C7"/>
    <w:rsid w:val="75B72C80"/>
    <w:rsid w:val="762568BB"/>
    <w:rsid w:val="76A631F7"/>
    <w:rsid w:val="76CC5FFF"/>
    <w:rsid w:val="77A978D4"/>
    <w:rsid w:val="789E1D84"/>
    <w:rsid w:val="796416BB"/>
    <w:rsid w:val="799A23E8"/>
    <w:rsid w:val="79A62CDA"/>
    <w:rsid w:val="79BC6C95"/>
    <w:rsid w:val="7CE44157"/>
    <w:rsid w:val="7FD82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0" w:afterAutospacing="0" w:line="560" w:lineRule="exact"/>
      <w:ind w:firstLine="721" w:firstLineChars="200"/>
      <w:jc w:val="left"/>
      <w:outlineLvl w:val="0"/>
    </w:pPr>
    <w:rPr>
      <w:rFonts w:hint="eastAsia" w:ascii="宋体" w:hAnsi="宋体" w:eastAsia="仿宋_GB2312" w:cs="宋体"/>
      <w:b/>
      <w:bCs/>
      <w:kern w:val="44"/>
      <w:sz w:val="32"/>
      <w:szCs w:val="48"/>
      <w:lang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2916</Words>
  <Characters>3008</Characters>
  <Lines>0</Lines>
  <Paragraphs>0</Paragraphs>
  <TotalTime>9</TotalTime>
  <ScaleCrop>false</ScaleCrop>
  <LinksUpToDate>false</LinksUpToDate>
  <CharactersWithSpaces>3213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2020-08-30T09:26:00Z</dcterms:created>
  <dc:creator>xuezhazha321</dc:creator>
  <cp:lastModifiedBy>ZLL</cp:lastModifiedBy>
  <dcterms:modified xsi:type="dcterms:W3CDTF">2025-02-14T02:29:14Z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301333385_btnclosed</vt:lpwstr>
  </property>
  <property fmtid="{D5CDD505-2E9C-101B-9397-08002B2CF9AE}" pid="4" name="ICV">
    <vt:lpwstr>1938C488AEBA42C1B11B74CF4DA12214</vt:lpwstr>
  </property>
</Properties>
</file>