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2</w:t>
      </w:r>
    </w:p>
    <w:p>
      <w:pPr>
        <w:spacing w:line="560" w:lineRule="exact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hAnsi="华文中宋" w:eastAsia="方正小标宋简体"/>
          <w:bCs/>
          <w:sz w:val="30"/>
          <w:szCs w:val="30"/>
        </w:rPr>
        <w:t>高校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思想政治工作骨干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在职攻读博士学位</w:t>
      </w:r>
      <w:r>
        <w:rPr>
          <w:rFonts w:hint="eastAsia" w:ascii="方正小标宋简体" w:hAnsi="华文中宋" w:eastAsia="方正小标宋简体"/>
          <w:sz w:val="30"/>
          <w:szCs w:val="30"/>
        </w:rPr>
        <w:t>报考资格审查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表</w:t>
      </w:r>
    </w:p>
    <w:tbl>
      <w:tblPr>
        <w:tblStyle w:val="3"/>
        <w:tblW w:w="8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37290"/>
    <w:rsid w:val="00904785"/>
    <w:rsid w:val="05E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2018-03-08T01:37:00Z</dcterms:created>
  <dc:creator>刘潇翰</dc:creator>
  <cp:lastModifiedBy>Administrator</cp:lastModifiedBy>
  <dcterms:modified xsi:type="dcterms:W3CDTF">2018-03-20T00:57:43Z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